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7915A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p>
    <w:p w14:paraId="6D591A3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本溪高新技术产业开发区工业用地</w:t>
      </w:r>
    </w:p>
    <w:p w14:paraId="550AB7E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“先租后让”实施办法</w:t>
      </w:r>
    </w:p>
    <w:p w14:paraId="176F41E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p>
    <w:p w14:paraId="64FE16B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第一条 为持续优化国有土地资源配置效率，切实提升工业用地节约集约利用效能，依据《节约集约利用土地规定》（国土资源部第61号令）、《自然资源部关于完善工业用地供应政策支持实体经济发展的通知》（自然资发〔2022〕201号）等相关政策法规，结合本溪高新技术产业开发区（以下简称“高新区”）产业发展实际，制定本实施办法。</w:t>
      </w:r>
    </w:p>
    <w:p w14:paraId="3C27985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第二条 本实施办法所指“先租后让”，是指针对工业用地设定固定租赁期限，通过公开交易程序确定国有建设用地使用权人，先行以租赁形式供应用地，待租赁期限届满且用地单位通过考核评价、满足约定条件后，再将用地性质转为出让的土地供应模式。</w:t>
      </w:r>
    </w:p>
    <w:p w14:paraId="49B3FF8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工业用地采用“先租后让”模式供应，必须严格契合本溪市国民经济和社会发展规划、国土空间规划及高新区产业发展规划要求。</w:t>
      </w:r>
    </w:p>
    <w:p w14:paraId="2F56396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第三条 工业用地“先租后让”实行“5＋N”用地年限模式，其中租赁期统一设定为5年，N为后续出让年限，租赁期与出让期合计土地使用年限不得超过50年。租赁环节与出让环节一并纳入招标、拍卖或挂牌公开交易流程，同步完成程序办理。</w:t>
      </w:r>
    </w:p>
    <w:p w14:paraId="0DEDF3A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第四条 工业用地使用权“先租后让”的出让条件中，需明确界定租赁年限、出让年限、租金收取标准及支付方式、租赁期间合同解除时地上建筑物及其他附着物的补偿标准、租赁期满后的考核评估具体指标、出让阶段土地出让金标准、土地使用权续期条件等核心内容，确保权责清晰、有据可依。</w:t>
      </w:r>
    </w:p>
    <w:p w14:paraId="7424EB7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第五条 工业用地使用权“先租后让”的审批管理，参照现有工业用地使用权公开出让的法定程序执行，由高新区管委会统筹组织实施，具体流程如下：</w:t>
      </w:r>
    </w:p>
    <w:p w14:paraId="7A17198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（一）高新区管委会牵头，组织经济运行、生态环境、规划建设、自然资源等相关职能部门，对拟采用“先租后让”方式供应的工业用地项目开展准入审核，严格把关产业合规性、用地合理性等核心要求；</w:t>
      </w:r>
    </w:p>
    <w:p w14:paraId="010874F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项目准入审核通过后，由自然资源管理部门结合拟出让工业用地的建设用地规划条件、产业准入标准、固定资产投资强度等核心要素，编制土地出让方案，提交高新区土地出让协调决策机构（高新区管委会主任办公会议）审议；</w:t>
      </w:r>
    </w:p>
    <w:p w14:paraId="02F4C95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（三）土地出让方案经审议通过后，由自然资源管理部门按程序向高新区管委会报送，申请正式批复后组织实施。</w:t>
      </w:r>
    </w:p>
    <w:p w14:paraId="33F71D6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yellow"/>
        </w:rPr>
      </w:pPr>
      <w:r>
        <w:rPr>
          <w:rFonts w:hint="eastAsia" w:ascii="仿宋_GB2312" w:hAnsi="仿宋_GB2312" w:eastAsia="仿宋_GB2312" w:cs="仿宋_GB2312"/>
          <w:sz w:val="32"/>
          <w:szCs w:val="32"/>
          <w:highlight w:val="yellow"/>
        </w:rPr>
        <w:t>第六条 土地价格按照实际使用年限进行修正核算。对纳入《辽宁省优先发展产业目录》、属于优先发展且用地集约的工业项目，以及符合《辽宁省农、林、牧、渔业产品初加工项目目录》、在产地直接开展农、林、牧、渔业产品初次加工的工业项目，确定土地出让底价时，可按不低于所在地土地等别对应工业用地最低价标准的80%执行，助力产业高质量发展。</w:t>
      </w:r>
    </w:p>
    <w:p w14:paraId="35F55A3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第七条 工业用地使用权“先租后让”的竞买保证金，按土地招标、拍卖或挂牌起始价款的20%一次性足额收取。土地成交后，已缴纳的竞买保证金自动转为租赁期租金；签订土地租赁合同时，若竞买保证金不足以抵扣全部租金，由竞得人在规定期限内补齐差额；若竞买保证金额度超出租金金额，超出部分一次性退还竞得人。</w:t>
      </w:r>
    </w:p>
    <w:p w14:paraId="63832F3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租赁期租金具体核算公式为：租赁期租金＝（土地竞得价÷租赁期与出让期合计总年限）×租赁年限。</w:t>
      </w:r>
    </w:p>
    <w:p w14:paraId="636EFBF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第八条 土地公开交易成交后，由高新区自然资源管理部门与土地竞得人依法签订工业用地使用权租赁合同或出让合同。</w:t>
      </w:r>
    </w:p>
    <w:p w14:paraId="2C74569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出租人、出让人需严格按照合同约定的期限、条件交付土地；承租人、受让人需严格按照合同约定的金额、期限及支付方式，足额缴纳租金、土地出让金，不得逾期拖欠。</w:t>
      </w:r>
    </w:p>
    <w:p w14:paraId="092BD0B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第九条 对明确约定建设标准、产业类别要求、建筑面积占比、最低容积率、投资强度、产出效率及节能、环保等用地条件的项目，在土地成交后，高新区管委会与土地竞得人签订履约监管协议，对工业用地使用履约情况进行全程监管。若项目用地未达到合同约定标准，将依法依规、按合同约定处置土地使用权。</w:t>
      </w:r>
    </w:p>
    <w:p w14:paraId="4B016F4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第十条 承租人可凭《国有建设用地使用权网上挂牌出让成交确认书》、土地租赁合同、租赁价款缴款凭证，向高新区自然资源和规划等相关管理部门申请办理《建设用地使用意见书》（样式详见附件）；承租人持该意见书，可依法申请办理规划报建、施工许可、消防验收、工程竣工验收备案等项目建设相关手续，保障项目顺利推进。</w:t>
      </w:r>
    </w:p>
    <w:p w14:paraId="45B57CF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第十一条 租赁期限内，承租人不得将所承租土地及其地上建筑物进行转租、转让、抵押，相关部门不予办理不动产登记手续。待土地性质转为出让后，承租人即享有出让国有建设用地使用权的完整权能，可按规定办理相关不动产登记及处置手续。</w:t>
      </w:r>
    </w:p>
    <w:p w14:paraId="1B192D1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第十二条 承租人、出让人需严格按照土地租赁合同、出让合同约定的用途、行业类别使用土地，未经高新区管委会及相关主管部门批准，不得擅自改变土地用途、行业类别及其他约定的土地使用条件，严禁违规用地。</w:t>
      </w:r>
    </w:p>
    <w:p w14:paraId="1B81EA4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第十三条 建立工业用地项目履约考核机制，对以“先租后让”方式取得土地使用权的项目，实行预考核与终考核相结合。在租赁期满前一年（即租赁期第4年），由高新区管委会组织相关职能部门，对租赁合同约定的土地使用条件指标执行情况开展预考核；若考核结果未达到约定标准，及时将考核意见反馈承租人，督促其限期整改达标。</w:t>
      </w:r>
    </w:p>
    <w:p w14:paraId="709A7CD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租赁期满前一个月，组织开展终考核；租赁期满且终考核合格的，双方依法签订土地出让合同，承租人按规定缴纳剩余土地出让价款（即土地成交总价款扣除已缴纳租赁期租金后的差额），土地出让期限自租赁合同终止之日起计算。承租人可凭相关材料，向高新区不动产登记中心申请办理出让期土地登记，领取不动产权证书。</w:t>
      </w:r>
    </w:p>
    <w:p w14:paraId="0A8A872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若终考核不合格、未达到合同约定要求的，土地使用权由出租人按合同约定无偿收回；对地上建筑物、其他附着物的补偿，高新区管委会可在土地供应决策阶段确定采用残值补偿、无偿收回、由承租人恢复原状等处置方式，并明确纳入合同管理，严格执行。若因承租人违规用地造成生态环境损害的，承租人需依法承担生态环境损害赔偿责任。</w:t>
      </w:r>
    </w:p>
    <w:p w14:paraId="37EBEEA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第十四条 以“先租后让”方式取得土地使用权的，在租赁合同约定的使用年限届满前，出让人不得擅自收回土地使用权。因社会公共利益需要，确需提前收回土地使用权的，出让人需依法履行报批程序，严格遵循法定流程，并按照合同约定，对地上建筑物、构筑物及附属设施给予合理补偿，同时退还承租人剩余租赁期限的土地租金。</w:t>
      </w:r>
    </w:p>
    <w:p w14:paraId="03937A6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第十五条 工业项目建设用地指标，严格按照国家现行工业项目建设用地控制指标执行，严禁突破指标标准违规供地、用地，确保土地集约高效利用。</w:t>
      </w:r>
    </w:p>
    <w:p w14:paraId="39DC4B9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第十六条 本实施办法由本溪高新技术产业开发区管委会负责解释。</w:t>
      </w:r>
    </w:p>
    <w:p w14:paraId="20DBF68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第十七条 本实施办法自发布之日起施行。</w:t>
      </w:r>
    </w:p>
    <w:p w14:paraId="094A3C8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bookmarkStart w:id="0" w:name="_GoBack"/>
      <w:bookmarkEnd w:id="0"/>
    </w:p>
    <w:sectPr>
      <w:headerReference r:id="rId3" w:type="default"/>
      <w:footerReference r:id="rId4" w:type="default"/>
      <w:pgSz w:w="11905" w:h="1684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5FD9446C-1905-4197-9745-070D67C7FD83}"/>
  </w:font>
  <w:font w:name="Arial">
    <w:panose1 w:val="020B0604020202020204"/>
    <w:charset w:val="00"/>
    <w:family w:val="auto"/>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embedRegular r:id="rId2" w:fontKey="{4033E88F-FCA6-45E8-A5A4-7051FBBA2098}"/>
  </w:font>
  <w:font w:name="方正小标宋简体">
    <w:panose1 w:val="02010600010101010101"/>
    <w:charset w:val="86"/>
    <w:family w:val="auto"/>
    <w:pitch w:val="default"/>
    <w:sig w:usb0="00000001" w:usb1="080E0000" w:usb2="00000000" w:usb3="00000000" w:csb0="00040000" w:csb1="00000000"/>
    <w:embedRegular r:id="rId3" w:fontKey="{B9C1215F-97AB-473C-98E1-9F5181A7BD3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E5C9BB"/>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06F14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documentProtection w:enforcement="0"/>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A9042E2"/>
    <w:rsid w:val="736B649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sz w:val="21"/>
      <w:szCs w:val="22"/>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6</Pages>
  <Words>2775</Words>
  <Characters>2789</Characters>
  <TotalTime>0</TotalTime>
  <ScaleCrop>false</ScaleCrop>
  <LinksUpToDate>false</LinksUpToDate>
  <CharactersWithSpaces>3287</CharactersWithSpaces>
  <Application>WPS Office_12.1.0.23542_F1E327BC-269C-435d-A152-05C5408002CA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2026-02-25T03:08:00Z</dcterms:created>
  <dc:creator>Apache POI</dc:creator>
  <cp:lastModifiedBy>王晓琪</cp:lastModifiedBy>
  <dcterms:modified xsi:type="dcterms:W3CDTF">2026-02-25T03:14:40Z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eyJoZGlkIjoiM2U5YzU4MjJiZmJiZjdkNzE3Y2FhYzc5OGQyYjQ0YjkiLCJ1c2VySWQiOiI0MDc0MDE5MDAifQ==</vt:lpwstr>
  </property>
  <property fmtid="{D5CDD505-2E9C-101B-9397-08002B2CF9AE}" pid="3" name="KSOProductBuildVer">
    <vt:lpwstr>2052-12.1.0.23542</vt:lpwstr>
  </property>
  <property fmtid="{D5CDD505-2E9C-101B-9397-08002B2CF9AE}" pid="4" name="ICV">
    <vt:lpwstr>7FD4C614DC1D406DB07AAD1F383C0189_13</vt:lpwstr>
  </property>
</Properties>
</file>