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25A81">
      <w:pPr>
        <w:snapToGrid w:val="0"/>
        <w:ind w:left="0" w:firstLine="0"/>
        <w:jc w:val="center"/>
        <w:rPr>
          <w:rFonts w:eastAsia="宋体" w:hint="eastAsia"/>
          <w:sz w:val="44"/>
        </w:rPr>
      </w:pPr>
      <w:r>
        <w:rPr>
          <w:rFonts w:eastAsia="宋体" w:hint="eastAsia"/>
          <w:sz w:val="44"/>
        </w:rPr>
        <w:t>201</w:t>
      </w:r>
      <w:r>
        <w:rPr>
          <w:rFonts w:eastAsia="宋体" w:hint="eastAsia"/>
          <w:sz w:val="44"/>
        </w:rPr>
        <w:t>9</w:t>
      </w:r>
      <w:r>
        <w:rPr>
          <w:rFonts w:eastAsia="宋体" w:hint="eastAsia"/>
          <w:sz w:val="44"/>
        </w:rPr>
        <w:t>年本溪市溪湖区石桥子街道办事处部门决算填报说明</w:t>
      </w:r>
    </w:p>
    <w:p w:rsidR="00000000" w:rsidRDefault="00425A81">
      <w:pPr>
        <w:snapToGrid w:val="0"/>
        <w:ind w:left="0" w:firstLine="0"/>
        <w:jc w:val="center"/>
        <w:rPr>
          <w:rFonts w:eastAsia="宋体" w:hint="eastAsia"/>
          <w:sz w:val="44"/>
        </w:rPr>
      </w:pPr>
      <w:r>
        <w:rPr>
          <w:rFonts w:eastAsia="宋体" w:hint="eastAsia"/>
          <w:sz w:val="44"/>
        </w:rPr>
        <w:t>（部门使用）</w:t>
      </w:r>
    </w:p>
    <w:p w:rsidR="00000000" w:rsidRDefault="00425A81">
      <w:pPr>
        <w:snapToGrid w:val="0"/>
        <w:ind w:left="0" w:firstLine="0"/>
        <w:rPr>
          <w:rFonts w:ascii="仿宋_GB2312" w:eastAsia="仿宋_GB2312" w:hAnsi="仿宋" w:hint="eastAsia"/>
          <w:sz w:val="32"/>
        </w:rPr>
      </w:pPr>
    </w:p>
    <w:p w:rsidR="00000000" w:rsidRDefault="00425A81">
      <w:pPr>
        <w:snapToGrid w:val="0"/>
        <w:spacing w:line="360" w:lineRule="auto"/>
        <w:ind w:left="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一、决算汇编基本情况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（一）部门机构情况说明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  201</w:t>
      </w:r>
      <w:r>
        <w:rPr>
          <w:rFonts w:ascii="仿宋" w:eastAsia="仿宋" w:hAnsi="仿宋" w:hint="eastAsia"/>
          <w:sz w:val="32"/>
          <w:u w:val="single"/>
        </w:rPr>
        <w:t>9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年度，纳入本部门决算汇编范围的独立核算单位共</w:t>
      </w:r>
      <w:r>
        <w:rPr>
          <w:rFonts w:ascii="仿宋" w:eastAsia="仿宋" w:hAnsi="仿宋" w:hint="eastAsia"/>
          <w:sz w:val="32"/>
          <w:u w:val="single"/>
        </w:rPr>
        <w:t xml:space="preserve">     1     </w:t>
      </w:r>
      <w:r>
        <w:rPr>
          <w:rFonts w:ascii="仿宋" w:eastAsia="仿宋" w:hAnsi="仿宋" w:hint="eastAsia"/>
          <w:sz w:val="32"/>
        </w:rPr>
        <w:t>个，比上年增减</w:t>
      </w:r>
      <w:r>
        <w:rPr>
          <w:rFonts w:ascii="仿宋" w:eastAsia="仿宋" w:hAnsi="仿宋" w:hint="eastAsia"/>
          <w:sz w:val="32"/>
          <w:u w:val="single"/>
        </w:rPr>
        <w:t xml:space="preserve">    0  </w:t>
      </w:r>
      <w:r>
        <w:rPr>
          <w:rFonts w:ascii="仿宋" w:eastAsia="仿宋" w:hAnsi="仿宋" w:hint="eastAsia"/>
          <w:sz w:val="32"/>
        </w:rPr>
        <w:t>个，分类说明如下：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660"/>
        <w:gridCol w:w="1134"/>
        <w:gridCol w:w="992"/>
        <w:gridCol w:w="3736"/>
      </w:tblGrid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比上年增减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变动原因说明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一、按单位基本性质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行政单位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二、按执行会计制度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行政单位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三、按单位预算级次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一级预算单位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00000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二级预算单位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00000" w:rsidRDefault="00425A81">
      <w:pPr>
        <w:snapToGrid w:val="0"/>
        <w:spacing w:line="360" w:lineRule="auto"/>
        <w:ind w:left="0" w:firstLine="640"/>
        <w:rPr>
          <w:rFonts w:ascii="黑体" w:eastAsia="黑体" w:hAnsi="仿宋" w:hint="eastAsia"/>
          <w:sz w:val="32"/>
        </w:rPr>
      </w:pP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（二）部门录入户数说明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  <w:u w:val="single"/>
        </w:rPr>
      </w:pPr>
      <w:r>
        <w:rPr>
          <w:rFonts w:ascii="仿宋" w:eastAsia="仿宋" w:hAnsi="仿宋" w:hint="eastAsia"/>
          <w:sz w:val="32"/>
          <w:u w:val="single"/>
        </w:rPr>
        <w:t xml:space="preserve"> 201</w:t>
      </w:r>
      <w:r>
        <w:rPr>
          <w:rFonts w:ascii="仿宋" w:eastAsia="仿宋" w:hAnsi="仿宋" w:hint="eastAsia"/>
          <w:sz w:val="32"/>
          <w:u w:val="single"/>
        </w:rPr>
        <w:t>9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年度，本部门决算汇编户数共</w:t>
      </w:r>
      <w:r>
        <w:rPr>
          <w:rFonts w:ascii="仿宋" w:eastAsia="仿宋" w:hAnsi="仿宋" w:hint="eastAsia"/>
          <w:sz w:val="32"/>
          <w:u w:val="single"/>
        </w:rPr>
        <w:t xml:space="preserve">    1  </w:t>
      </w:r>
      <w:r>
        <w:rPr>
          <w:rFonts w:ascii="仿宋" w:eastAsia="仿宋" w:hAnsi="仿宋" w:hint="eastAsia"/>
          <w:sz w:val="32"/>
        </w:rPr>
        <w:t>个，比上年增减</w:t>
      </w:r>
      <w:r>
        <w:rPr>
          <w:rFonts w:ascii="仿宋" w:eastAsia="仿宋" w:hAnsi="仿宋" w:hint="eastAsia"/>
          <w:sz w:val="32"/>
          <w:u w:val="single"/>
        </w:rPr>
        <w:t xml:space="preserve">    0  </w:t>
      </w:r>
      <w:r>
        <w:rPr>
          <w:rFonts w:ascii="仿宋" w:eastAsia="仿宋" w:hAnsi="仿宋" w:hint="eastAsia"/>
          <w:sz w:val="32"/>
        </w:rPr>
        <w:t>个，分类说明如下：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2802"/>
        <w:gridCol w:w="992"/>
        <w:gridCol w:w="992"/>
        <w:gridCol w:w="3736"/>
      </w:tblGrid>
      <w:tr w:rsidR="0000000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比上年增减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变动原因说明</w:t>
            </w:r>
          </w:p>
        </w:tc>
      </w:tr>
      <w:tr w:rsidR="00000000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一、单户表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425A81">
            <w:pPr>
              <w:snapToGrid w:val="0"/>
              <w:spacing w:line="360" w:lineRule="auto"/>
              <w:ind w:left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</w:tbl>
    <w:p w:rsidR="00000000" w:rsidRDefault="00425A81">
      <w:pPr>
        <w:snapToGrid w:val="0"/>
        <w:spacing w:line="360" w:lineRule="auto"/>
        <w:ind w:left="496" w:hanging="496"/>
        <w:rPr>
          <w:rFonts w:ascii="仿宋" w:eastAsia="仿宋" w:hAnsi="仿宋" w:hint="eastAsia"/>
          <w:sz w:val="28"/>
        </w:rPr>
      </w:pPr>
    </w:p>
    <w:p w:rsidR="00000000" w:rsidRDefault="00425A81">
      <w:pPr>
        <w:snapToGrid w:val="0"/>
        <w:spacing w:line="360" w:lineRule="auto"/>
        <w:ind w:left="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二、基础数据核对情况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财政拨款核对情况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单位本年度实际收到的公共预算财政拨款收入</w:t>
      </w:r>
      <w:r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1182.05</w:t>
      </w:r>
      <w:r>
        <w:rPr>
          <w:rFonts w:ascii="仿宋" w:eastAsia="仿宋" w:hAnsi="仿宋" w:hint="eastAsia"/>
          <w:sz w:val="32"/>
        </w:rPr>
        <w:t>万元，财政部门拨款对账单</w:t>
      </w:r>
      <w:r>
        <w:rPr>
          <w:rFonts w:ascii="仿宋" w:eastAsia="仿宋" w:hAnsi="仿宋" w:hint="eastAsia"/>
          <w:sz w:val="32"/>
        </w:rPr>
        <w:t>1182.05</w:t>
      </w:r>
      <w:r>
        <w:rPr>
          <w:rFonts w:ascii="仿宋" w:eastAsia="仿宋" w:hAnsi="仿宋" w:hint="eastAsia"/>
          <w:sz w:val="32"/>
        </w:rPr>
        <w:t>万元，无差额。</w:t>
      </w:r>
    </w:p>
    <w:p w:rsidR="00000000" w:rsidRDefault="00425A81">
      <w:pPr>
        <w:snapToGrid w:val="0"/>
        <w:spacing w:line="360" w:lineRule="auto"/>
        <w:ind w:left="0" w:firstLine="0"/>
        <w:rPr>
          <w:rFonts w:ascii="仿宋" w:eastAsia="仿宋" w:hAnsi="仿宋" w:hint="eastAsia"/>
          <w:sz w:val="32"/>
        </w:rPr>
      </w:pPr>
    </w:p>
    <w:p w:rsidR="00000000" w:rsidRDefault="00425A81">
      <w:pPr>
        <w:snapToGrid w:val="0"/>
        <w:spacing w:line="360" w:lineRule="auto"/>
        <w:ind w:left="0" w:firstLine="627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三、报表审核情况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（一）审核情况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套表审核通过。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（二）对报表指标、审核公式和审核模板的设置建议</w:t>
      </w:r>
    </w:p>
    <w:p w:rsidR="00000000" w:rsidRDefault="00425A81">
      <w:pPr>
        <w:snapToGrid w:val="0"/>
        <w:spacing w:line="360" w:lineRule="auto"/>
        <w:ind w:left="0" w:firstLine="80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对部门决算报表指标设置无建议</w:t>
      </w:r>
    </w:p>
    <w:p w:rsidR="00000000" w:rsidRDefault="00425A81">
      <w:pPr>
        <w:snapToGrid w:val="0"/>
        <w:spacing w:line="360" w:lineRule="auto"/>
        <w:ind w:left="0" w:firstLine="640"/>
        <w:rPr>
          <w:rFonts w:ascii="黑体" w:eastAsia="黑体" w:hAnsi="仿宋" w:hint="eastAsia"/>
          <w:sz w:val="32"/>
        </w:rPr>
      </w:pPr>
      <w:r>
        <w:rPr>
          <w:rFonts w:ascii="黑体" w:eastAsia="黑体" w:hAnsi="仿宋" w:hint="eastAsia"/>
          <w:sz w:val="32"/>
        </w:rPr>
        <w:t>四、决算</w:t>
      </w:r>
      <w:r>
        <w:rPr>
          <w:rFonts w:ascii="黑体" w:eastAsia="黑体" w:hAnsi="仿宋" w:hint="eastAsia"/>
          <w:sz w:val="32"/>
        </w:rPr>
        <w:t>数据其他需要说明的情况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1.</w:t>
      </w:r>
      <w:r>
        <w:rPr>
          <w:rFonts w:ascii="仿宋" w:eastAsia="仿宋" w:hAnsi="仿宋" w:hint="eastAsia"/>
          <w:sz w:val="32"/>
        </w:rPr>
        <w:t>“支出明细表”中“其他工资福利支出”的具体构成，由于征地拆迁任务时间紧，工作人员经常加班发生的加班费开支编制外长期聘用人员支出。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．“项目支出决算明细表”中列支“对个人和家庭的补助”的说明。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在乡复原退伍军人生活补助</w:t>
      </w:r>
      <w:r>
        <w:rPr>
          <w:rFonts w:ascii="仿宋" w:eastAsia="仿宋" w:hAnsi="仿宋" w:hint="eastAsia"/>
          <w:sz w:val="32"/>
        </w:rPr>
        <w:t>20,101.90</w:t>
      </w:r>
      <w:r>
        <w:rPr>
          <w:rFonts w:ascii="仿宋" w:eastAsia="仿宋" w:hAnsi="仿宋" w:hint="eastAsia"/>
          <w:sz w:val="32"/>
        </w:rPr>
        <w:t>元，慰问敬老院</w:t>
      </w:r>
      <w:r>
        <w:rPr>
          <w:rFonts w:ascii="仿宋" w:eastAsia="仿宋" w:hAnsi="仿宋" w:hint="eastAsia"/>
          <w:sz w:val="32"/>
        </w:rPr>
        <w:t>5,000</w:t>
      </w:r>
      <w:r>
        <w:rPr>
          <w:rFonts w:ascii="仿宋" w:eastAsia="仿宋" w:hAnsi="仿宋" w:hint="eastAsia"/>
          <w:sz w:val="32"/>
        </w:rPr>
        <w:t>元，优抚事业单位支出</w:t>
      </w:r>
      <w:r>
        <w:rPr>
          <w:rFonts w:ascii="仿宋" w:eastAsia="仿宋" w:hAnsi="仿宋" w:hint="eastAsia"/>
          <w:sz w:val="32"/>
        </w:rPr>
        <w:t>20,101.90</w:t>
      </w:r>
      <w:r>
        <w:rPr>
          <w:rFonts w:ascii="仿宋" w:eastAsia="仿宋" w:hAnsi="仿宋" w:hint="eastAsia"/>
          <w:sz w:val="32"/>
        </w:rPr>
        <w:t>元，农村义务兵优待金</w:t>
      </w:r>
      <w:r>
        <w:rPr>
          <w:rFonts w:ascii="仿宋" w:eastAsia="仿宋" w:hAnsi="仿宋" w:hint="eastAsia"/>
          <w:sz w:val="32"/>
        </w:rPr>
        <w:t>75,768.70</w:t>
      </w:r>
      <w:r>
        <w:rPr>
          <w:rFonts w:ascii="仿宋" w:eastAsia="仿宋" w:hAnsi="仿宋" w:hint="eastAsia"/>
          <w:sz w:val="32"/>
        </w:rPr>
        <w:t>，计划生育宣传经费、奖励费</w:t>
      </w:r>
      <w:r>
        <w:rPr>
          <w:rFonts w:ascii="仿宋" w:eastAsia="仿宋" w:hAnsi="仿宋" w:hint="eastAsia"/>
          <w:sz w:val="32"/>
        </w:rPr>
        <w:t>123,958.00</w:t>
      </w:r>
      <w:r>
        <w:rPr>
          <w:rFonts w:ascii="仿宋" w:eastAsia="仿宋" w:hAnsi="仿宋" w:hint="eastAsia"/>
          <w:sz w:val="32"/>
        </w:rPr>
        <w:t>元，对村干部补贴、村级防疫员工资、村级保洁员工资及离任村</w:t>
      </w:r>
      <w:r>
        <w:rPr>
          <w:rFonts w:ascii="仿宋" w:eastAsia="仿宋" w:hAnsi="仿宋" w:hint="eastAsia"/>
          <w:sz w:val="32"/>
        </w:rPr>
        <w:lastRenderedPageBreak/>
        <w:t>干部补助等</w:t>
      </w:r>
      <w:r>
        <w:rPr>
          <w:rFonts w:ascii="仿宋" w:eastAsia="仿宋" w:hAnsi="仿宋" w:hint="eastAsia"/>
          <w:sz w:val="32"/>
        </w:rPr>
        <w:t>718497.71</w:t>
      </w:r>
      <w:r>
        <w:rPr>
          <w:rFonts w:ascii="仿宋" w:eastAsia="仿宋" w:hAnsi="仿宋" w:hint="eastAsia"/>
          <w:sz w:val="32"/>
        </w:rPr>
        <w:t>元。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3.</w:t>
      </w:r>
      <w:r>
        <w:rPr>
          <w:rFonts w:ascii="仿宋" w:eastAsia="仿宋" w:hAnsi="仿宋" w:hint="eastAsia"/>
          <w:sz w:val="32"/>
        </w:rPr>
        <w:t>“资产负</w:t>
      </w:r>
      <w:r>
        <w:rPr>
          <w:rFonts w:ascii="仿宋" w:eastAsia="仿宋" w:hAnsi="仿宋" w:hint="eastAsia"/>
          <w:sz w:val="32"/>
        </w:rPr>
        <w:t>债简表”中行政事业单位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“其他应收款”、“其他应付款”等往来账款都是各部门专项款。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4.</w:t>
      </w:r>
      <w:r>
        <w:rPr>
          <w:rFonts w:ascii="仿宋" w:eastAsia="仿宋" w:hAnsi="仿宋" w:hint="eastAsia"/>
          <w:sz w:val="32"/>
        </w:rPr>
        <w:t>“三公”经费总额</w:t>
      </w:r>
      <w:r>
        <w:rPr>
          <w:rFonts w:ascii="仿宋" w:eastAsia="仿宋" w:hAnsi="仿宋" w:hint="eastAsia"/>
          <w:sz w:val="32"/>
        </w:rPr>
        <w:t>6.9</w:t>
      </w:r>
      <w:r>
        <w:rPr>
          <w:rFonts w:ascii="仿宋" w:eastAsia="仿宋" w:hAnsi="仿宋" w:hint="eastAsia"/>
          <w:sz w:val="32"/>
        </w:rPr>
        <w:t>万与上年</w:t>
      </w:r>
      <w:r>
        <w:rPr>
          <w:rFonts w:ascii="仿宋" w:eastAsia="仿宋" w:hAnsi="仿宋" w:hint="eastAsia"/>
          <w:sz w:val="32"/>
        </w:rPr>
        <w:t>33.7</w:t>
      </w:r>
      <w:r>
        <w:rPr>
          <w:rFonts w:ascii="仿宋" w:eastAsia="仿宋" w:hAnsi="仿宋" w:hint="eastAsia"/>
          <w:sz w:val="32"/>
        </w:rPr>
        <w:t>万元减少</w:t>
      </w:r>
      <w:r>
        <w:rPr>
          <w:rFonts w:ascii="仿宋" w:eastAsia="仿宋" w:hAnsi="仿宋" w:hint="eastAsia"/>
          <w:sz w:val="32"/>
        </w:rPr>
        <w:t>26.8</w:t>
      </w:r>
      <w:r>
        <w:rPr>
          <w:rFonts w:ascii="仿宋" w:eastAsia="仿宋" w:hAnsi="仿宋" w:hint="eastAsia"/>
          <w:sz w:val="32"/>
        </w:rPr>
        <w:t>万，公务用车购置及运行维护费</w:t>
      </w:r>
      <w:r>
        <w:rPr>
          <w:rFonts w:ascii="仿宋" w:eastAsia="仿宋" w:hAnsi="仿宋" w:hint="eastAsia"/>
          <w:sz w:val="32"/>
        </w:rPr>
        <w:t>6.4</w:t>
      </w:r>
      <w:r>
        <w:rPr>
          <w:rFonts w:ascii="仿宋" w:eastAsia="仿宋" w:hAnsi="仿宋" w:hint="eastAsia"/>
          <w:sz w:val="32"/>
        </w:rPr>
        <w:t>万，比上年</w:t>
      </w:r>
      <w:r>
        <w:rPr>
          <w:rFonts w:ascii="仿宋" w:eastAsia="仿宋" w:hAnsi="仿宋" w:hint="eastAsia"/>
          <w:sz w:val="32"/>
        </w:rPr>
        <w:t>32.4</w:t>
      </w:r>
      <w:r>
        <w:rPr>
          <w:rFonts w:ascii="仿宋" w:eastAsia="仿宋" w:hAnsi="仿宋" w:hint="eastAsia"/>
          <w:sz w:val="32"/>
        </w:rPr>
        <w:t>万减少</w:t>
      </w:r>
      <w:r>
        <w:rPr>
          <w:rFonts w:ascii="仿宋" w:eastAsia="仿宋" w:hAnsi="仿宋" w:hint="eastAsia"/>
          <w:sz w:val="32"/>
        </w:rPr>
        <w:t>26</w:t>
      </w:r>
      <w:r>
        <w:rPr>
          <w:rFonts w:ascii="仿宋" w:eastAsia="仿宋" w:hAnsi="仿宋" w:hint="eastAsia"/>
          <w:sz w:val="32"/>
        </w:rPr>
        <w:t>万，</w:t>
      </w:r>
      <w:r>
        <w:rPr>
          <w:rFonts w:ascii="仿宋" w:eastAsia="仿宋" w:hAnsi="仿宋" w:hint="eastAsia"/>
          <w:sz w:val="32"/>
        </w:rPr>
        <w:t>公务接待费</w:t>
      </w:r>
      <w:r>
        <w:rPr>
          <w:rFonts w:ascii="仿宋" w:eastAsia="仿宋" w:hAnsi="仿宋" w:hint="eastAsia"/>
          <w:sz w:val="32"/>
        </w:rPr>
        <w:t>0.5</w:t>
      </w:r>
      <w:r>
        <w:rPr>
          <w:rFonts w:ascii="仿宋" w:eastAsia="仿宋" w:hAnsi="仿宋" w:hint="eastAsia"/>
          <w:sz w:val="32"/>
        </w:rPr>
        <w:t>万</w:t>
      </w:r>
      <w:r>
        <w:rPr>
          <w:rFonts w:ascii="仿宋" w:eastAsia="仿宋" w:hAnsi="仿宋" w:hint="eastAsia"/>
          <w:sz w:val="32"/>
        </w:rPr>
        <w:t>,</w:t>
      </w:r>
      <w:r>
        <w:rPr>
          <w:rFonts w:ascii="仿宋" w:eastAsia="仿宋" w:hAnsi="仿宋" w:hint="eastAsia"/>
          <w:sz w:val="32"/>
        </w:rPr>
        <w:t>比上年接待费</w:t>
      </w:r>
      <w:r>
        <w:rPr>
          <w:rFonts w:ascii="仿宋" w:eastAsia="仿宋" w:hAnsi="仿宋" w:hint="eastAsia"/>
          <w:sz w:val="32"/>
        </w:rPr>
        <w:t>1.3</w:t>
      </w:r>
      <w:r>
        <w:rPr>
          <w:rFonts w:ascii="仿宋" w:eastAsia="仿宋" w:hAnsi="仿宋" w:hint="eastAsia"/>
          <w:sz w:val="32"/>
        </w:rPr>
        <w:t>万减少</w:t>
      </w:r>
      <w:r>
        <w:rPr>
          <w:rFonts w:ascii="仿宋" w:eastAsia="仿宋" w:hAnsi="仿宋" w:hint="eastAsia"/>
          <w:sz w:val="32"/>
        </w:rPr>
        <w:t>0.8</w:t>
      </w:r>
      <w:r>
        <w:rPr>
          <w:rFonts w:ascii="仿宋" w:eastAsia="仿宋" w:hAnsi="仿宋" w:hint="eastAsia"/>
          <w:sz w:val="32"/>
        </w:rPr>
        <w:t>万，接待批次</w:t>
      </w:r>
      <w:r>
        <w:rPr>
          <w:rFonts w:ascii="仿宋" w:eastAsia="仿宋" w:hAnsi="仿宋" w:hint="eastAsia"/>
          <w:sz w:val="32"/>
        </w:rPr>
        <w:t>10</w:t>
      </w:r>
      <w:r>
        <w:rPr>
          <w:rFonts w:ascii="仿宋" w:eastAsia="仿宋" w:hAnsi="仿宋" w:hint="eastAsia"/>
          <w:sz w:val="32"/>
        </w:rPr>
        <w:t>批</w:t>
      </w:r>
      <w:r>
        <w:rPr>
          <w:rFonts w:ascii="仿宋" w:eastAsia="仿宋" w:hAnsi="仿宋" w:hint="eastAsia"/>
          <w:sz w:val="32"/>
        </w:rPr>
        <w:t>38</w:t>
      </w:r>
      <w:r>
        <w:rPr>
          <w:rFonts w:ascii="仿宋" w:eastAsia="仿宋" w:hAnsi="仿宋" w:hint="eastAsia"/>
          <w:sz w:val="32"/>
        </w:rPr>
        <w:t>人次。公务用车保有量</w:t>
      </w:r>
      <w:r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辆。因公出国</w:t>
      </w:r>
      <w:r>
        <w:rPr>
          <w:rFonts w:ascii="仿宋" w:eastAsia="仿宋" w:hAnsi="仿宋" w:hint="eastAsia"/>
          <w:sz w:val="32"/>
        </w:rPr>
        <w:t>0</w:t>
      </w:r>
      <w:r>
        <w:rPr>
          <w:rFonts w:ascii="仿宋" w:eastAsia="仿宋" w:hAnsi="仿宋" w:hint="eastAsia"/>
          <w:sz w:val="32"/>
        </w:rPr>
        <w:t>次。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五、其他需要说明的问题。</w:t>
      </w:r>
    </w:p>
    <w:p w:rsidR="00000000" w:rsidRDefault="00425A8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</w:p>
    <w:sectPr w:rsidR="000000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425A81">
      <w:r>
        <w:separator/>
      </w:r>
    </w:p>
  </w:endnote>
  <w:endnote w:type="continuationSeparator" w:id="1">
    <w:p w:rsidR="00000000" w:rsidRDefault="00425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5A81">
    <w:pPr>
      <w:tabs>
        <w:tab w:val="center" w:pos="4153"/>
        <w:tab w:val="right" w:pos="8306"/>
      </w:tabs>
      <w:snapToGrid w:val="0"/>
      <w:ind w:left="0" w:firstLine="0"/>
      <w:jc w:val="center"/>
      <w:rPr>
        <w:rFonts w:eastAsia="宋体"/>
        <w:sz w:val="24"/>
      </w:rPr>
    </w:pPr>
    <w:r>
      <w:rPr>
        <w:rFonts w:eastAsia="宋体"/>
        <w:sz w:val="24"/>
      </w:rPr>
      <w:fldChar w:fldCharType="begin"/>
    </w:r>
    <w:r>
      <w:rPr>
        <w:rFonts w:eastAsia="宋体"/>
        <w:sz w:val="24"/>
      </w:rPr>
      <w:instrText>PAGE</w:instrText>
    </w:r>
    <w:r>
      <w:rPr>
        <w:rFonts w:eastAsia="宋体"/>
        <w:sz w:val="24"/>
      </w:rPr>
      <w:fldChar w:fldCharType="separate"/>
    </w:r>
    <w:r>
      <w:rPr>
        <w:rFonts w:eastAsia="宋体"/>
        <w:noProof/>
        <w:sz w:val="24"/>
      </w:rPr>
      <w:t>3</w:t>
    </w:r>
    <w:r>
      <w:rPr>
        <w:rFonts w:eastAsia="宋体"/>
        <w:sz w:val="24"/>
      </w:rPr>
      <w:fldChar w:fldCharType="end"/>
    </w:r>
  </w:p>
  <w:p w:rsidR="00000000" w:rsidRDefault="00425A81">
    <w:pPr>
      <w:tabs>
        <w:tab w:val="center" w:pos="4153"/>
        <w:tab w:val="right" w:pos="8306"/>
      </w:tabs>
      <w:snapToGrid w:val="0"/>
      <w:ind w:left="0" w:firstLine="0"/>
      <w:jc w:val="right"/>
      <w:rPr>
        <w:rFonts w:ascii="Arial" w:eastAsia="宋体" w:hAnsi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425A81">
      <w:r>
        <w:separator/>
      </w:r>
    </w:p>
  </w:footnote>
  <w:footnote w:type="continuationSeparator" w:id="1">
    <w:p w:rsidR="00000000" w:rsidRDefault="00425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25A81">
    <w:pPr>
      <w:tabs>
        <w:tab w:val="center" w:pos="4153"/>
        <w:tab w:val="right" w:pos="8306"/>
      </w:tabs>
      <w:snapToGrid w:val="0"/>
      <w:ind w:left="0" w:firstLine="0"/>
      <w:jc w:val="center"/>
      <w:rPr>
        <w:rFonts w:ascii="Times New Roman" w:eastAsia="宋体" w:hAnsi="Times New Roman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stylePaneFormatFilter w:val="000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8A2"/>
    <w:rsid w:val="00425A81"/>
    <w:rsid w:val="004408A2"/>
    <w:rsid w:val="09F334C9"/>
    <w:rsid w:val="35C9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Theme="minorEastAsia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pPr>
      <w:widowControl w:val="0"/>
      <w:ind w:left="25600" w:firstLine="4608"/>
      <w:jc w:val="both"/>
    </w:pPr>
  </w:style>
  <w:style w:type="paragraph" w:styleId="1">
    <w:name w:val="heading 1"/>
    <w:next w:val="a"/>
    <w:qFormat/>
    <w:pPr>
      <w:wordWrap w:val="0"/>
      <w:spacing w:after="160"/>
      <w:ind w:left="1024"/>
      <w:jc w:val="both"/>
      <w:outlineLvl w:val="0"/>
    </w:pPr>
  </w:style>
  <w:style w:type="paragraph" w:styleId="2">
    <w:name w:val="heading 2"/>
    <w:next w:val="a"/>
    <w:qFormat/>
    <w:pPr>
      <w:wordWrap w:val="0"/>
      <w:spacing w:after="160"/>
      <w:ind w:left="1024"/>
      <w:jc w:val="both"/>
      <w:outlineLvl w:val="1"/>
    </w:pPr>
  </w:style>
  <w:style w:type="paragraph" w:styleId="3">
    <w:name w:val="heading 3"/>
    <w:next w:val="a"/>
    <w:qFormat/>
    <w:pPr>
      <w:wordWrap w:val="0"/>
      <w:spacing w:after="160"/>
      <w:ind w:left="1400" w:firstLine="1136"/>
      <w:jc w:val="both"/>
      <w:outlineLvl w:val="2"/>
    </w:pPr>
  </w:style>
  <w:style w:type="paragraph" w:styleId="4">
    <w:name w:val="heading 4"/>
    <w:next w:val="a"/>
    <w:qFormat/>
    <w:pPr>
      <w:wordWrap w:val="0"/>
      <w:spacing w:after="160"/>
      <w:ind w:left="1600" w:firstLine="2160"/>
      <w:jc w:val="both"/>
      <w:outlineLvl w:val="3"/>
    </w:pPr>
  </w:style>
  <w:style w:type="paragraph" w:styleId="5">
    <w:name w:val="heading 5"/>
    <w:next w:val="a"/>
    <w:qFormat/>
    <w:pPr>
      <w:wordWrap w:val="0"/>
      <w:spacing w:after="160"/>
      <w:ind w:left="1800" w:firstLine="1136"/>
      <w:jc w:val="both"/>
      <w:outlineLvl w:val="4"/>
    </w:pPr>
  </w:style>
  <w:style w:type="paragraph" w:styleId="6">
    <w:name w:val="heading 6"/>
    <w:next w:val="a"/>
    <w:qFormat/>
    <w:pPr>
      <w:wordWrap w:val="0"/>
      <w:spacing w:after="160"/>
      <w:ind w:left="2000" w:firstLine="2160"/>
      <w:jc w:val="both"/>
      <w:outlineLvl w:val="5"/>
    </w:pPr>
  </w:style>
  <w:style w:type="paragraph" w:styleId="7">
    <w:name w:val="heading 7"/>
    <w:next w:val="a"/>
    <w:qFormat/>
    <w:pPr>
      <w:wordWrap w:val="0"/>
      <w:spacing w:after="160"/>
      <w:ind w:left="2200" w:firstLine="1136"/>
      <w:jc w:val="both"/>
      <w:outlineLvl w:val="6"/>
    </w:pPr>
  </w:style>
  <w:style w:type="paragraph" w:styleId="8">
    <w:name w:val="heading 8"/>
    <w:next w:val="a"/>
    <w:qFormat/>
    <w:pPr>
      <w:wordWrap w:val="0"/>
      <w:spacing w:after="160"/>
      <w:ind w:left="2400" w:firstLine="1136"/>
      <w:jc w:val="both"/>
      <w:outlineLvl w:val="7"/>
    </w:pPr>
  </w:style>
  <w:style w:type="paragraph" w:styleId="9">
    <w:name w:val="heading 9"/>
    <w:next w:val="a"/>
    <w:qFormat/>
    <w:pPr>
      <w:wordWrap w:val="0"/>
      <w:spacing w:after="160"/>
      <w:ind w:left="2600" w:firstLine="1136"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Pr>
      <w:i/>
      <w:color w:val="auto"/>
      <w:sz w:val="21"/>
    </w:rPr>
  </w:style>
  <w:style w:type="character" w:styleId="a4">
    <w:name w:val="Strong"/>
    <w:qFormat/>
    <w:rPr>
      <w:b/>
      <w:sz w:val="21"/>
    </w:rPr>
  </w:style>
  <w:style w:type="character" w:styleId="a5">
    <w:name w:val="Emphasis"/>
    <w:qFormat/>
    <w:rPr>
      <w:i/>
      <w:sz w:val="21"/>
    </w:rPr>
  </w:style>
  <w:style w:type="character" w:styleId="a6">
    <w:name w:val="Intense Reference"/>
    <w:qFormat/>
    <w:rPr>
      <w:b/>
      <w:color w:val="auto"/>
      <w:sz w:val="21"/>
    </w:rPr>
  </w:style>
  <w:style w:type="character" w:styleId="a7">
    <w:name w:val="Book Title"/>
    <w:qFormat/>
    <w:rPr>
      <w:b/>
      <w:i/>
      <w:sz w:val="21"/>
    </w:rPr>
  </w:style>
  <w:style w:type="character" w:styleId="a8">
    <w:name w:val="Subtle Emphasis"/>
    <w:qFormat/>
    <w:rPr>
      <w:i/>
      <w:color w:val="auto"/>
      <w:sz w:val="21"/>
    </w:rPr>
  </w:style>
  <w:style w:type="character" w:styleId="a9">
    <w:name w:val="Subtle Reference"/>
    <w:qFormat/>
    <w:rPr>
      <w:color w:val="auto"/>
      <w:sz w:val="21"/>
    </w:rPr>
  </w:style>
  <w:style w:type="paragraph" w:styleId="aa">
    <w:name w:val="List Paragraph"/>
    <w:next w:val="a"/>
    <w:qFormat/>
    <w:pPr>
      <w:wordWrap w:val="0"/>
      <w:ind w:left="1106"/>
      <w:jc w:val="both"/>
    </w:pPr>
  </w:style>
  <w:style w:type="paragraph" w:styleId="ab">
    <w:name w:val="Normal Indent"/>
    <w:next w:val="a"/>
    <w:pPr>
      <w:wordWrap w:val="0"/>
      <w:ind w:left="1096"/>
      <w:jc w:val="both"/>
    </w:pPr>
  </w:style>
  <w:style w:type="paragraph" w:styleId="70">
    <w:name w:val="toc 7"/>
    <w:next w:val="a"/>
    <w:pPr>
      <w:wordWrap w:val="0"/>
      <w:ind w:left="1101"/>
      <w:jc w:val="both"/>
    </w:pPr>
  </w:style>
  <w:style w:type="paragraph" w:styleId="20">
    <w:name w:val="toc 2"/>
    <w:next w:val="a"/>
    <w:pPr>
      <w:wordWrap w:val="0"/>
      <w:ind w:left="1024"/>
      <w:jc w:val="both"/>
    </w:pPr>
  </w:style>
  <w:style w:type="paragraph" w:styleId="80">
    <w:name w:val="toc 8"/>
    <w:next w:val="a"/>
    <w:pPr>
      <w:wordWrap w:val="0"/>
      <w:ind w:left="1270"/>
      <w:jc w:val="both"/>
    </w:pPr>
  </w:style>
  <w:style w:type="paragraph" w:styleId="50">
    <w:name w:val="toc 5"/>
    <w:next w:val="a"/>
    <w:pPr>
      <w:wordWrap w:val="0"/>
      <w:ind w:left="1275"/>
      <w:jc w:val="both"/>
    </w:pPr>
  </w:style>
  <w:style w:type="paragraph" w:styleId="90">
    <w:name w:val="toc 9"/>
    <w:next w:val="a"/>
    <w:pPr>
      <w:wordWrap w:val="0"/>
      <w:ind w:left="1183"/>
      <w:jc w:val="both"/>
    </w:pPr>
  </w:style>
  <w:style w:type="paragraph" w:styleId="30">
    <w:name w:val="toc 3"/>
    <w:next w:val="a"/>
    <w:pPr>
      <w:wordWrap w:val="0"/>
      <w:ind w:left="1193"/>
      <w:jc w:val="both"/>
    </w:pPr>
  </w:style>
  <w:style w:type="paragraph" w:styleId="60">
    <w:name w:val="toc 6"/>
    <w:next w:val="a"/>
    <w:pPr>
      <w:wordWrap w:val="0"/>
      <w:ind w:left="1188"/>
      <w:jc w:val="both"/>
    </w:pPr>
  </w:style>
  <w:style w:type="paragraph" w:styleId="ac">
    <w:name w:val="Subtitle"/>
    <w:next w:val="a"/>
    <w:qFormat/>
    <w:pPr>
      <w:wordWrap w:val="0"/>
      <w:spacing w:after="60"/>
      <w:ind w:left="1024"/>
      <w:jc w:val="center"/>
    </w:pPr>
  </w:style>
  <w:style w:type="paragraph" w:styleId="40">
    <w:name w:val="toc 4"/>
    <w:next w:val="a"/>
    <w:pPr>
      <w:wordWrap w:val="0"/>
      <w:ind w:left="1106"/>
      <w:jc w:val="both"/>
    </w:pPr>
  </w:style>
  <w:style w:type="paragraph" w:styleId="ad">
    <w:name w:val="Quote"/>
    <w:next w:val="a"/>
    <w:qFormat/>
    <w:pPr>
      <w:wordWrap w:val="0"/>
      <w:spacing w:before="200" w:after="160"/>
      <w:ind w:left="3680" w:right="864"/>
      <w:jc w:val="center"/>
    </w:pPr>
    <w:rPr>
      <w:i/>
    </w:rPr>
  </w:style>
  <w:style w:type="paragraph" w:styleId="TOC">
    <w:name w:val="TOC Heading"/>
    <w:next w:val="a"/>
    <w:qFormat/>
    <w:pPr>
      <w:wordWrap w:val="0"/>
      <w:ind w:left="2560"/>
    </w:pPr>
  </w:style>
  <w:style w:type="paragraph" w:styleId="ae">
    <w:name w:val="Intense Quote"/>
    <w:next w:val="a"/>
    <w:qFormat/>
    <w:pPr>
      <w:wordWrap w:val="0"/>
      <w:spacing w:before="360" w:after="360"/>
      <w:ind w:left="3766" w:right="950"/>
      <w:jc w:val="center"/>
    </w:pPr>
    <w:rPr>
      <w:i/>
    </w:rPr>
  </w:style>
  <w:style w:type="paragraph" w:styleId="af">
    <w:name w:val="header"/>
    <w:basedOn w:val="a"/>
    <w:link w:val="Char"/>
    <w:rsid w:val="0044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"/>
    <w:rsid w:val="004408A2"/>
    <w:rPr>
      <w:sz w:val="18"/>
      <w:szCs w:val="18"/>
    </w:rPr>
  </w:style>
  <w:style w:type="paragraph" w:styleId="af0">
    <w:name w:val="footer"/>
    <w:basedOn w:val="a"/>
    <w:link w:val="Char0"/>
    <w:rsid w:val="0044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0"/>
    <w:rsid w:val="00440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234</Characters>
  <Application>Microsoft Office Word</Application>
  <DocSecurity>0</DocSecurity>
  <Lines>1</Lines>
  <Paragraphs>1</Paragraphs>
  <Notes>0</Notes>
  <ScaleCrop>false</ScaleCrop>
  <Company>微?中?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2014年本溪市溪湖区石桥子街道办事处部门决算填报说明</dc:title>
  <dc:subject/>
  <dc:creator>微软用户</dc:creator>
  <cp:keywords/>
  <cp:lastModifiedBy>微软用户</cp:lastModifiedBy>
  <cp:revision>2</cp:revision>
  <dcterms:created xsi:type="dcterms:W3CDTF">2021-05-27T01:23:00Z</dcterms:created>
  <dcterms:modified xsi:type="dcterms:W3CDTF">2021-05-27T01:23:00Z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