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4837" w:rsidRDefault="00584837">
      <w:pPr>
        <w:widowControl/>
        <w:pBdr>
          <w:bottom w:val="dotted" w:sz="6" w:space="11" w:color="7FABF4"/>
        </w:pBdr>
        <w:spacing w:before="225"/>
        <w:ind w:left="450" w:firstLine="360"/>
        <w:jc w:val="center"/>
        <w:rPr>
          <w:rFonts w:eastAsia="宋体" w:hint="eastAsia"/>
          <w:b/>
          <w:color w:val="3C3C3C"/>
          <w:sz w:val="44"/>
          <w:shd w:val="clear" w:color="000000" w:fill="FFFFFF"/>
        </w:rPr>
      </w:pPr>
    </w:p>
    <w:p w:rsidR="00584837" w:rsidRDefault="00EE222F">
      <w:pPr>
        <w:widowControl/>
        <w:pBdr>
          <w:bottom w:val="dotted" w:sz="6" w:space="11" w:color="7FABF4"/>
        </w:pBdr>
        <w:spacing w:before="225"/>
        <w:ind w:left="450" w:firstLine="360"/>
        <w:jc w:val="center"/>
        <w:rPr>
          <w:rFonts w:eastAsia="宋体"/>
          <w:b/>
          <w:color w:val="3C3C3C"/>
          <w:sz w:val="44"/>
          <w:shd w:val="clear" w:color="000000" w:fill="FFFFFF"/>
        </w:rPr>
      </w:pPr>
      <w:r>
        <w:rPr>
          <w:rFonts w:eastAsia="宋体"/>
          <w:b/>
          <w:color w:val="3C3C3C"/>
          <w:sz w:val="44"/>
          <w:shd w:val="clear" w:color="000000" w:fill="FFFFFF"/>
        </w:rPr>
        <w:t>本溪市溪湖区石桥子街道办事处</w:t>
      </w:r>
    </w:p>
    <w:p w:rsidR="00584837" w:rsidRDefault="00EE222F">
      <w:pPr>
        <w:widowControl/>
        <w:pBdr>
          <w:bottom w:val="dotted" w:sz="6" w:space="11" w:color="7FABF4"/>
        </w:pBdr>
        <w:spacing w:before="225"/>
        <w:ind w:left="450" w:firstLine="360"/>
        <w:jc w:val="center"/>
        <w:rPr>
          <w:rFonts w:eastAsia="宋体"/>
          <w:b/>
          <w:color w:val="3C3C3C"/>
          <w:sz w:val="44"/>
          <w:shd w:val="clear" w:color="000000" w:fill="FFFFFF"/>
        </w:rPr>
      </w:pPr>
      <w:r>
        <w:rPr>
          <w:rFonts w:eastAsia="宋体"/>
          <w:b/>
          <w:color w:val="3C3C3C"/>
          <w:sz w:val="44"/>
          <w:shd w:val="clear" w:color="000000" w:fill="FFFFFF"/>
        </w:rPr>
        <w:t>201</w:t>
      </w:r>
      <w:r>
        <w:rPr>
          <w:rFonts w:eastAsia="宋体" w:hint="eastAsia"/>
          <w:b/>
          <w:color w:val="3C3C3C"/>
          <w:sz w:val="44"/>
          <w:shd w:val="clear" w:color="000000" w:fill="FFFFFF"/>
        </w:rPr>
        <w:t>9</w:t>
      </w:r>
      <w:r>
        <w:rPr>
          <w:rFonts w:eastAsia="宋体"/>
          <w:b/>
          <w:color w:val="3C3C3C"/>
          <w:sz w:val="44"/>
          <w:shd w:val="clear" w:color="000000" w:fill="FFFFFF"/>
        </w:rPr>
        <w:t>年度部门决算情况报告</w:t>
      </w:r>
    </w:p>
    <w:p w:rsidR="00584837" w:rsidRDefault="00584837">
      <w:pPr>
        <w:widowControl/>
        <w:pBdr>
          <w:bottom w:val="dotted" w:sz="6" w:space="11" w:color="7FABF4"/>
        </w:pBdr>
        <w:spacing w:before="225"/>
        <w:ind w:left="450" w:firstLine="360"/>
        <w:jc w:val="center"/>
        <w:rPr>
          <w:rFonts w:eastAsia="宋体"/>
          <w:color w:val="3C3C3C"/>
          <w:sz w:val="44"/>
        </w:rPr>
      </w:pPr>
    </w:p>
    <w:p w:rsidR="00584837" w:rsidRDefault="00EE222F">
      <w:pPr>
        <w:widowControl/>
        <w:pBdr>
          <w:bottom w:val="dotted" w:sz="6" w:space="11" w:color="7FABF4"/>
        </w:pBdr>
        <w:spacing w:line="360" w:lineRule="auto"/>
        <w:ind w:left="0" w:firstLine="630"/>
        <w:rPr>
          <w:rFonts w:eastAsia="宋体"/>
          <w:b/>
          <w:sz w:val="32"/>
        </w:rPr>
      </w:pPr>
      <w:r>
        <w:rPr>
          <w:rFonts w:eastAsia="宋体" w:hint="eastAsia"/>
          <w:b/>
          <w:sz w:val="32"/>
        </w:rPr>
        <w:t>一、</w:t>
      </w:r>
      <w:r>
        <w:rPr>
          <w:rFonts w:eastAsia="宋体"/>
          <w:b/>
          <w:color w:val="3C3C3C"/>
          <w:sz w:val="32"/>
          <w:shd w:val="clear" w:color="000000" w:fill="FFFFFF"/>
        </w:rPr>
        <w:t>部门职责和基本情况</w:t>
      </w:r>
    </w:p>
    <w:p w:rsidR="00584837" w:rsidRDefault="00EE222F">
      <w:pPr>
        <w:widowControl/>
        <w:pBdr>
          <w:bottom w:val="dotted" w:sz="6" w:space="11" w:color="7FABF4"/>
        </w:pBdr>
        <w:spacing w:line="360" w:lineRule="auto"/>
        <w:ind w:left="0" w:firstLine="630"/>
        <w:rPr>
          <w:rFonts w:eastAsia="宋体"/>
          <w:color w:val="3C3C3C"/>
          <w:sz w:val="32"/>
          <w:shd w:val="clear" w:color="000000" w:fill="FFFFFF"/>
        </w:rPr>
      </w:pPr>
      <w:r>
        <w:rPr>
          <w:rFonts w:eastAsia="宋体" w:hint="eastAsia"/>
          <w:b/>
          <w:sz w:val="32"/>
        </w:rPr>
        <w:t>1.</w:t>
      </w:r>
      <w:r>
        <w:rPr>
          <w:rFonts w:eastAsia="宋体" w:hint="eastAsia"/>
          <w:color w:val="3C3C3C"/>
          <w:sz w:val="32"/>
          <w:shd w:val="clear" w:color="000000" w:fill="FFFFFF"/>
        </w:rPr>
        <w:t>本溪市溪湖区石桥子街道办事处隶属本溪高新技术产业开发区管委会，石桥子街道办事处在辖区内依法宣传贯彻宪法、法律、法规和国家政策，贯彻执行党的路线、方针、政策和上级的指示、决定，组织领导街道区域经济工作，维护居民合法权益，办理辖区居民公共事务，指导、督促社区居委会完成上级部署的各项工作，积极参与社会公益事业，在辖区内依法开展思想政治、经济、教育、科普、文化、精神文明建设、卫生、计划生育、民政、民族、社会保障、优抚救济、外来人口管理、双拥、征兵、社会稳定、调解、市容市貌、环境保护、绿化美化等工作，参与城市建设、危房改造、住宅小区的管理工作，配合有关部门做好安全生产、防空、防汛、防震、交通管理、抢险救灾等工作，向上级部门反映人民群众的意见和要求，办理群众来信来访事项，做好为人民群众服务工作。</w:t>
      </w:r>
      <w:r>
        <w:rPr>
          <w:rFonts w:eastAsia="宋体" w:hint="eastAsia"/>
          <w:color w:val="3C3C3C"/>
          <w:sz w:val="32"/>
        </w:rPr>
        <w:br/>
        <w:t xml:space="preserve">    </w:t>
      </w:r>
      <w:r>
        <w:rPr>
          <w:rFonts w:eastAsia="宋体"/>
          <w:b/>
          <w:color w:val="3C3C3C"/>
          <w:sz w:val="32"/>
          <w:shd w:val="clear" w:color="000000" w:fill="FFFFFF"/>
        </w:rPr>
        <w:t>2.</w:t>
      </w:r>
      <w:r>
        <w:rPr>
          <w:rFonts w:eastAsia="宋体" w:hint="eastAsia"/>
          <w:color w:val="3C3C3C"/>
          <w:sz w:val="32"/>
          <w:shd w:val="clear" w:color="000000" w:fill="FFFFFF"/>
        </w:rPr>
        <w:t>石桥子街道办事处在职人数36人，其中行政编制人</w:t>
      </w:r>
      <w:r>
        <w:rPr>
          <w:rFonts w:eastAsia="宋体" w:hint="eastAsia"/>
          <w:color w:val="3C3C3C"/>
          <w:sz w:val="32"/>
          <w:shd w:val="clear" w:color="000000" w:fill="FFFFFF"/>
        </w:rPr>
        <w:lastRenderedPageBreak/>
        <w:t>员16人，事业编制人员20人。离退休人员24人，其中：离休0人，退休24人。在编实有公务用车3辆。</w:t>
      </w:r>
      <w:r>
        <w:rPr>
          <w:rFonts w:eastAsia="宋体" w:hint="eastAsia"/>
          <w:color w:val="3C3C3C"/>
          <w:sz w:val="32"/>
        </w:rPr>
        <w:br/>
        <w:t xml:space="preserve">    </w:t>
      </w:r>
      <w:r>
        <w:rPr>
          <w:rFonts w:eastAsia="宋体"/>
          <w:b/>
          <w:color w:val="3C3C3C"/>
          <w:sz w:val="32"/>
          <w:shd w:val="clear" w:color="000000" w:fill="FFFFFF"/>
        </w:rPr>
        <w:t>二、201</w:t>
      </w:r>
      <w:r>
        <w:rPr>
          <w:rFonts w:eastAsia="宋体" w:hint="eastAsia"/>
          <w:b/>
          <w:color w:val="3C3C3C"/>
          <w:sz w:val="32"/>
          <w:shd w:val="clear" w:color="000000" w:fill="FFFFFF"/>
        </w:rPr>
        <w:t>9</w:t>
      </w:r>
      <w:r>
        <w:rPr>
          <w:rFonts w:eastAsia="宋体"/>
          <w:b/>
          <w:color w:val="3C3C3C"/>
          <w:sz w:val="32"/>
          <w:shd w:val="clear" w:color="000000" w:fill="FFFFFF"/>
        </w:rPr>
        <w:t>年部门决算收支情况</w:t>
      </w:r>
      <w:r>
        <w:rPr>
          <w:rFonts w:eastAsia="宋体" w:hint="eastAsia"/>
          <w:color w:val="3C3C3C"/>
          <w:sz w:val="32"/>
        </w:rPr>
        <w:br/>
        <w:t xml:space="preserve">    </w:t>
      </w:r>
      <w:r>
        <w:rPr>
          <w:rFonts w:eastAsia="宋体" w:hint="eastAsia"/>
          <w:color w:val="3C3C3C"/>
          <w:sz w:val="32"/>
          <w:shd w:val="clear" w:color="000000" w:fill="FFFFFF"/>
        </w:rPr>
        <w:t>2019年石桥子街道办事处决算总收入1182.05万元，其中：公共财政预算拨款1182.05万元。</w:t>
      </w:r>
      <w:r>
        <w:rPr>
          <w:rFonts w:eastAsia="宋体" w:hint="eastAsia"/>
          <w:color w:val="3C3C3C"/>
          <w:sz w:val="32"/>
        </w:rPr>
        <w:br/>
        <w:t xml:space="preserve">    </w:t>
      </w:r>
      <w:r>
        <w:rPr>
          <w:rFonts w:eastAsia="宋体" w:hint="eastAsia"/>
          <w:color w:val="3C3C3C"/>
          <w:sz w:val="32"/>
          <w:shd w:val="clear" w:color="000000" w:fill="FFFFFF"/>
        </w:rPr>
        <w:t>2019年石桥子街道办事处部门决算总支出1182.05万元，其中：基本支出797.09万元，占总支出的67.4%，项目支出384.96万元，占总支出的32.6%。按支出功能分类，其中：一般公共服务757.5万元;社会保障和就业128.55万元；医疗卫生与计划生育支出27.19；农林水事务246.07万元；住房保障支出22.74。按经济分类，其中：工资福利支出576.85万元；商品和服务支出334.41万元；对个人和家庭的补助206.56万元；其他资本性支出30.4万元;对企业补贴33.83万元。</w:t>
      </w:r>
    </w:p>
    <w:p w:rsidR="00584837" w:rsidRDefault="00EE222F">
      <w:pPr>
        <w:widowControl/>
        <w:pBdr>
          <w:bottom w:val="dotted" w:sz="6" w:space="11" w:color="7FABF4"/>
        </w:pBdr>
        <w:spacing w:line="360" w:lineRule="auto"/>
        <w:ind w:left="0" w:firstLine="781"/>
        <w:rPr>
          <w:rFonts w:eastAsia="宋体"/>
          <w:color w:val="3C3C3C"/>
          <w:sz w:val="32"/>
          <w:shd w:val="clear" w:color="000000" w:fill="FFFFFF"/>
        </w:rPr>
      </w:pPr>
      <w:r>
        <w:rPr>
          <w:rFonts w:eastAsia="宋体" w:hint="eastAsia"/>
          <w:color w:val="3C3C3C"/>
          <w:sz w:val="32"/>
          <w:shd w:val="clear" w:color="000000" w:fill="FFFFFF"/>
        </w:rPr>
        <w:t>1.一般公共服务757.5万元。主要是用于保障机构正常运转及完成日常工作任务的支出，具体是：</w:t>
      </w:r>
    </w:p>
    <w:p w:rsidR="00584837" w:rsidRDefault="00EE222F">
      <w:pPr>
        <w:widowControl/>
        <w:pBdr>
          <w:bottom w:val="dotted" w:sz="6" w:space="11" w:color="7FABF4"/>
        </w:pBdr>
        <w:spacing w:line="360" w:lineRule="auto"/>
        <w:ind w:left="0" w:firstLine="640"/>
        <w:rPr>
          <w:rFonts w:eastAsia="宋体"/>
          <w:color w:val="3C3C3C"/>
          <w:sz w:val="32"/>
          <w:shd w:val="clear" w:color="000000" w:fill="FFFFFF"/>
        </w:rPr>
      </w:pPr>
      <w:r>
        <w:rPr>
          <w:rFonts w:eastAsia="宋体" w:hint="eastAsia"/>
          <w:color w:val="3C3C3C"/>
          <w:sz w:val="32"/>
          <w:shd w:val="clear" w:color="000000" w:fill="FFFFFF"/>
        </w:rPr>
        <w:t>⑴按照国家和省有关规定的基本工资、津贴补贴、奖金、社会保险缴费等支出576.85万元;对个人和家庭的补助等支出206.56万元。</w:t>
      </w:r>
    </w:p>
    <w:p w:rsidR="00584837" w:rsidRDefault="00EE222F">
      <w:pPr>
        <w:widowControl/>
        <w:pBdr>
          <w:bottom w:val="dotted" w:sz="6" w:space="11" w:color="7FABF4"/>
        </w:pBdr>
        <w:spacing w:line="360" w:lineRule="auto"/>
        <w:ind w:left="0" w:firstLine="640"/>
        <w:rPr>
          <w:rFonts w:eastAsia="宋体"/>
          <w:color w:val="3C3C3C"/>
          <w:sz w:val="32"/>
          <w:shd w:val="clear" w:color="000000" w:fill="FFFFFF"/>
        </w:rPr>
      </w:pPr>
      <w:r>
        <w:rPr>
          <w:rFonts w:eastAsia="宋体" w:hint="eastAsia"/>
          <w:color w:val="3C3C3C"/>
          <w:sz w:val="32"/>
          <w:shd w:val="clear" w:color="000000" w:fill="FFFFFF"/>
        </w:rPr>
        <w:t>⑵办公费、水电费、印刷费、差旅费、维修费等公用经费支出334.41万元。</w:t>
      </w:r>
    </w:p>
    <w:p w:rsidR="00584837" w:rsidRDefault="00EE222F">
      <w:pPr>
        <w:widowControl/>
        <w:pBdr>
          <w:bottom w:val="dotted" w:sz="6" w:space="11" w:color="7FABF4"/>
        </w:pBdr>
        <w:spacing w:line="360" w:lineRule="auto"/>
        <w:ind w:left="0" w:firstLine="781"/>
        <w:rPr>
          <w:rFonts w:eastAsia="宋体"/>
          <w:color w:val="3C3C3C"/>
          <w:sz w:val="32"/>
          <w:shd w:val="clear" w:color="000000" w:fill="FFFFFF"/>
        </w:rPr>
      </w:pPr>
      <w:r>
        <w:rPr>
          <w:rFonts w:eastAsia="宋体" w:hint="eastAsia"/>
          <w:color w:val="3C3C3C"/>
          <w:sz w:val="32"/>
          <w:shd w:val="clear" w:color="000000" w:fill="FFFFFF"/>
        </w:rPr>
        <w:lastRenderedPageBreak/>
        <w:t>2.社会保障和就业支出128.55万元，主要是机构运转经费及抚恤、最低生活保障、生活救助等补助支出。</w:t>
      </w:r>
    </w:p>
    <w:p w:rsidR="00584837" w:rsidRDefault="00EE222F">
      <w:pPr>
        <w:widowControl/>
        <w:pBdr>
          <w:bottom w:val="dotted" w:sz="6" w:space="11" w:color="7FABF4"/>
        </w:pBdr>
        <w:spacing w:line="360" w:lineRule="auto"/>
        <w:ind w:left="0" w:firstLine="781"/>
        <w:rPr>
          <w:rFonts w:eastAsia="宋体"/>
          <w:color w:val="3C3C3C"/>
          <w:sz w:val="32"/>
          <w:shd w:val="clear" w:color="000000" w:fill="FFFFFF"/>
        </w:rPr>
      </w:pPr>
      <w:r>
        <w:rPr>
          <w:rFonts w:eastAsia="宋体" w:hint="eastAsia"/>
          <w:color w:val="3C3C3C"/>
          <w:sz w:val="32"/>
          <w:shd w:val="clear" w:color="000000" w:fill="FFFFFF"/>
        </w:rPr>
        <w:t>3.医疗卫生与计划生育支出27.19万元，主要是</w:t>
      </w:r>
      <w:proofErr w:type="gramStart"/>
      <w:r>
        <w:rPr>
          <w:rFonts w:eastAsia="宋体" w:hint="eastAsia"/>
          <w:color w:val="3C3C3C"/>
          <w:sz w:val="32"/>
          <w:shd w:val="clear" w:color="000000" w:fill="FFFFFF"/>
        </w:rPr>
        <w:t>计生奖扶</w:t>
      </w:r>
      <w:proofErr w:type="gramEnd"/>
      <w:r>
        <w:rPr>
          <w:rFonts w:eastAsia="宋体" w:hint="eastAsia"/>
          <w:color w:val="3C3C3C"/>
          <w:sz w:val="32"/>
          <w:shd w:val="clear" w:color="000000" w:fill="FFFFFF"/>
        </w:rPr>
        <w:t>，技术服务等补助支出。</w:t>
      </w:r>
    </w:p>
    <w:p w:rsidR="00584837" w:rsidRDefault="00EE222F">
      <w:pPr>
        <w:widowControl/>
        <w:pBdr>
          <w:bottom w:val="dotted" w:sz="6" w:space="11" w:color="7FABF4"/>
        </w:pBdr>
        <w:spacing w:line="360" w:lineRule="auto"/>
        <w:ind w:left="0" w:firstLine="781"/>
        <w:rPr>
          <w:rFonts w:eastAsia="宋体"/>
          <w:color w:val="3C3C3C"/>
          <w:sz w:val="32"/>
          <w:shd w:val="clear" w:color="000000" w:fill="FFFFFF"/>
        </w:rPr>
      </w:pPr>
      <w:r>
        <w:rPr>
          <w:rFonts w:eastAsia="宋体" w:hint="eastAsia"/>
          <w:color w:val="3C3C3C"/>
          <w:sz w:val="32"/>
          <w:shd w:val="clear" w:color="000000" w:fill="FFFFFF"/>
        </w:rPr>
        <w:t>4.农林水事务支出246.07万元，主要是机构运转经费支出和森林防火、防汛及村级组织运转补助支出。</w:t>
      </w:r>
    </w:p>
    <w:p w:rsidR="00584837" w:rsidRDefault="00EE222F">
      <w:pPr>
        <w:widowControl/>
        <w:pBdr>
          <w:bottom w:val="dotted" w:sz="6" w:space="11" w:color="7FABF4"/>
        </w:pBdr>
        <w:spacing w:line="360" w:lineRule="auto"/>
        <w:ind w:left="0" w:firstLine="781"/>
        <w:rPr>
          <w:rFonts w:eastAsia="宋体"/>
          <w:color w:val="3C3C3C"/>
          <w:sz w:val="32"/>
          <w:shd w:val="clear" w:color="000000" w:fill="FFFFFF"/>
        </w:rPr>
      </w:pPr>
      <w:r>
        <w:rPr>
          <w:rFonts w:eastAsia="宋体" w:hint="eastAsia"/>
          <w:color w:val="3C3C3C"/>
          <w:sz w:val="32"/>
          <w:shd w:val="clear" w:color="000000" w:fill="FFFFFF"/>
        </w:rPr>
        <w:t>5.住房保障支出22.74，主要用于交住房公积金。</w:t>
      </w:r>
    </w:p>
    <w:p w:rsidR="00584837" w:rsidRDefault="00EE222F">
      <w:pPr>
        <w:widowControl/>
        <w:pBdr>
          <w:bottom w:val="dotted" w:sz="6" w:space="11" w:color="7FABF4"/>
        </w:pBdr>
        <w:spacing w:line="360" w:lineRule="auto"/>
        <w:ind w:left="0" w:firstLine="784"/>
        <w:rPr>
          <w:rFonts w:eastAsia="宋体"/>
          <w:b/>
          <w:color w:val="3C3C3C"/>
          <w:sz w:val="32"/>
          <w:shd w:val="clear" w:color="000000" w:fill="FFFFFF"/>
        </w:rPr>
      </w:pPr>
      <w:r>
        <w:rPr>
          <w:rFonts w:eastAsia="宋体" w:hint="eastAsia"/>
          <w:b/>
          <w:color w:val="3C3C3C"/>
          <w:sz w:val="32"/>
          <w:shd w:val="clear" w:color="000000" w:fill="FFFFFF"/>
        </w:rPr>
        <w:t>三、行政单位财务分析指标</w:t>
      </w:r>
    </w:p>
    <w:p w:rsidR="00584837" w:rsidRDefault="00EE222F">
      <w:pPr>
        <w:widowControl/>
        <w:pBdr>
          <w:bottom w:val="dotted" w:sz="6" w:space="11" w:color="7FABF4"/>
        </w:pBdr>
        <w:spacing w:line="360" w:lineRule="auto"/>
        <w:ind w:left="0" w:firstLine="781"/>
        <w:rPr>
          <w:rFonts w:eastAsia="宋体"/>
          <w:color w:val="3C3C3C"/>
          <w:sz w:val="32"/>
          <w:shd w:val="clear" w:color="000000" w:fill="FFFFFF"/>
        </w:rPr>
      </w:pPr>
      <w:r>
        <w:rPr>
          <w:rFonts w:eastAsia="宋体" w:hint="eastAsia"/>
          <w:color w:val="3C3C3C"/>
          <w:sz w:val="32"/>
          <w:shd w:val="clear" w:color="000000" w:fill="FFFFFF"/>
        </w:rPr>
        <w:t>1、基本支出增长率为6.16%，本年支出同比上年支出增加46.2万元。</w:t>
      </w:r>
    </w:p>
    <w:p w:rsidR="00584837" w:rsidRDefault="00EE222F">
      <w:pPr>
        <w:widowControl/>
        <w:pBdr>
          <w:bottom w:val="dotted" w:sz="6" w:space="11" w:color="7FABF4"/>
        </w:pBdr>
        <w:spacing w:line="360" w:lineRule="auto"/>
        <w:ind w:left="0" w:firstLine="781"/>
        <w:rPr>
          <w:rFonts w:eastAsia="宋体"/>
          <w:sz w:val="32"/>
        </w:rPr>
      </w:pPr>
      <w:r>
        <w:rPr>
          <w:rFonts w:eastAsia="宋体" w:hint="eastAsia"/>
          <w:color w:val="3C3C3C"/>
          <w:sz w:val="32"/>
          <w:shd w:val="clear" w:color="000000" w:fill="FFFFFF"/>
        </w:rPr>
        <w:t>2、</w:t>
      </w:r>
      <w:r>
        <w:rPr>
          <w:rFonts w:eastAsia="宋体" w:hint="eastAsia"/>
          <w:sz w:val="32"/>
        </w:rPr>
        <w:t>项目支出增长率为-13.41%。</w:t>
      </w:r>
    </w:p>
    <w:p w:rsidR="00584837" w:rsidRDefault="00EE222F">
      <w:pPr>
        <w:widowControl/>
        <w:pBdr>
          <w:bottom w:val="dotted" w:sz="6" w:space="11" w:color="7FABF4"/>
        </w:pBdr>
        <w:tabs>
          <w:tab w:val="left" w:pos="720"/>
        </w:tabs>
        <w:spacing w:line="360" w:lineRule="auto"/>
        <w:ind w:left="0" w:firstLine="784"/>
        <w:rPr>
          <w:rFonts w:eastAsia="宋体"/>
          <w:color w:val="3C3C3C"/>
          <w:sz w:val="32"/>
          <w:shd w:val="clear" w:color="000000" w:fill="FFFFFF"/>
        </w:rPr>
      </w:pPr>
      <w:r>
        <w:rPr>
          <w:rFonts w:eastAsia="宋体"/>
          <w:b/>
          <w:color w:val="3C3C3C"/>
          <w:sz w:val="32"/>
          <w:shd w:val="clear" w:color="000000" w:fill="FFFFFF"/>
        </w:rPr>
        <w:t>四、201</w:t>
      </w:r>
      <w:r>
        <w:rPr>
          <w:rFonts w:eastAsia="宋体" w:hint="eastAsia"/>
          <w:b/>
          <w:color w:val="3C3C3C"/>
          <w:sz w:val="32"/>
          <w:shd w:val="clear" w:color="000000" w:fill="FFFFFF"/>
        </w:rPr>
        <w:t>9</w:t>
      </w:r>
      <w:r>
        <w:rPr>
          <w:rFonts w:eastAsia="宋体"/>
          <w:b/>
          <w:color w:val="3C3C3C"/>
          <w:sz w:val="32"/>
          <w:shd w:val="clear" w:color="000000" w:fill="FFFFFF"/>
        </w:rPr>
        <w:t>年“三公”经费决算财政拨款情况</w:t>
      </w:r>
      <w:r>
        <w:rPr>
          <w:rFonts w:eastAsia="宋体" w:hint="eastAsia"/>
          <w:color w:val="3C3C3C"/>
          <w:sz w:val="32"/>
        </w:rPr>
        <w:br/>
        <w:t xml:space="preserve">     </w:t>
      </w:r>
      <w:r>
        <w:rPr>
          <w:rFonts w:eastAsia="宋体" w:hint="eastAsia"/>
          <w:color w:val="3C3C3C"/>
          <w:sz w:val="32"/>
          <w:shd w:val="clear" w:color="000000" w:fill="FFFFFF"/>
        </w:rPr>
        <w:t>2019年石桥子街道办事处“三公”经费决算公共预算财政拨款支出6.9万元，其中：因公出国（境）费0元、公务接待费0.5万元、公务用车购置及运行维护费6.4万元。</w:t>
      </w:r>
    </w:p>
    <w:p w:rsidR="00584837" w:rsidRDefault="00EE222F">
      <w:pPr>
        <w:widowControl/>
        <w:pBdr>
          <w:bottom w:val="dotted" w:sz="6" w:space="11" w:color="7FABF4"/>
        </w:pBdr>
        <w:tabs>
          <w:tab w:val="left" w:pos="900"/>
        </w:tabs>
        <w:spacing w:line="360" w:lineRule="auto"/>
        <w:ind w:left="0" w:firstLine="720"/>
        <w:rPr>
          <w:rFonts w:eastAsia="宋体"/>
          <w:sz w:val="32"/>
          <w:shd w:val="clear" w:color="000000" w:fill="FFFFFF"/>
        </w:rPr>
      </w:pPr>
      <w:r>
        <w:rPr>
          <w:rFonts w:eastAsia="宋体" w:hint="eastAsia"/>
          <w:sz w:val="32"/>
          <w:shd w:val="clear" w:color="000000" w:fill="FFFFFF"/>
        </w:rPr>
        <w:t>1.公务接待费0.5万元,主要用于招商引资、相关业务部门检查及晚间征地动迁加班用餐。2019年公务接待累计10批次，累计38人次。</w:t>
      </w:r>
    </w:p>
    <w:p w:rsidR="00584837" w:rsidRDefault="00EE222F">
      <w:pPr>
        <w:widowControl/>
        <w:pBdr>
          <w:bottom w:val="dotted" w:sz="6" w:space="11" w:color="7FABF4"/>
        </w:pBdr>
        <w:spacing w:line="360" w:lineRule="auto"/>
        <w:ind w:left="0" w:firstLine="640"/>
        <w:rPr>
          <w:rFonts w:eastAsia="宋体"/>
          <w:color w:val="3C3C3C"/>
          <w:sz w:val="32"/>
          <w:shd w:val="clear" w:color="000000" w:fill="FFFFFF"/>
        </w:rPr>
      </w:pPr>
      <w:r>
        <w:rPr>
          <w:rFonts w:eastAsia="宋体" w:hint="eastAsia"/>
          <w:color w:val="3C3C3C"/>
          <w:sz w:val="32"/>
          <w:shd w:val="clear" w:color="000000" w:fill="FFFFFF"/>
        </w:rPr>
        <w:t>2.公务用车购置及运行维护费6.4万元，其中：公务用车购置费0万元，公务用车运行维护费6.4万元。年末公务用车保有量3辆。</w:t>
      </w:r>
    </w:p>
    <w:p w:rsidR="00584837" w:rsidRDefault="00EE222F">
      <w:pPr>
        <w:widowControl/>
        <w:pBdr>
          <w:bottom w:val="dotted" w:sz="6" w:space="11" w:color="7FABF4"/>
        </w:pBdr>
        <w:spacing w:line="360" w:lineRule="auto"/>
        <w:ind w:left="0" w:firstLine="640"/>
        <w:rPr>
          <w:rFonts w:eastAsia="宋体"/>
          <w:color w:val="3C3C3C"/>
          <w:sz w:val="32"/>
          <w:shd w:val="clear" w:color="000000" w:fill="FFFFFF"/>
        </w:rPr>
      </w:pPr>
      <w:r>
        <w:rPr>
          <w:rFonts w:eastAsia="宋体" w:hint="eastAsia"/>
          <w:color w:val="3C3C3C"/>
          <w:sz w:val="32"/>
          <w:shd w:val="clear" w:color="000000" w:fill="FFFFFF"/>
        </w:rPr>
        <w:t>3、会议费0元，培训费15206元。</w:t>
      </w:r>
    </w:p>
    <w:p w:rsidR="00584837" w:rsidRDefault="00EE222F">
      <w:pPr>
        <w:widowControl/>
        <w:pBdr>
          <w:bottom w:val="dotted" w:sz="6" w:space="11" w:color="7FABF4"/>
        </w:pBdr>
        <w:spacing w:line="360" w:lineRule="auto"/>
        <w:ind w:left="0" w:firstLine="643"/>
        <w:rPr>
          <w:rFonts w:eastAsia="宋体"/>
          <w:b/>
          <w:color w:val="3C3C3C"/>
          <w:sz w:val="32"/>
          <w:shd w:val="clear" w:color="000000" w:fill="FFFFFF"/>
        </w:rPr>
      </w:pPr>
      <w:r>
        <w:rPr>
          <w:rFonts w:eastAsia="宋体" w:hint="eastAsia"/>
          <w:b/>
          <w:color w:val="3C3C3C"/>
          <w:sz w:val="32"/>
          <w:shd w:val="clear" w:color="000000" w:fill="FFFFFF"/>
        </w:rPr>
        <w:lastRenderedPageBreak/>
        <w:t>五、年末无结余。</w:t>
      </w:r>
    </w:p>
    <w:p w:rsidR="00584837" w:rsidRDefault="00EE222F">
      <w:pPr>
        <w:snapToGrid w:val="0"/>
        <w:spacing w:line="540" w:lineRule="exact"/>
        <w:ind w:left="0" w:firstLine="643"/>
        <w:rPr>
          <w:rFonts w:eastAsia="宋体"/>
          <w:b/>
          <w:sz w:val="32"/>
        </w:rPr>
      </w:pPr>
      <w:bookmarkStart w:id="0" w:name="YS060103"/>
      <w:r>
        <w:rPr>
          <w:rFonts w:eastAsia="宋体" w:hint="eastAsia"/>
          <w:b/>
          <w:sz w:val="32"/>
        </w:rPr>
        <w:t>六、资产负债情况分析</w:t>
      </w:r>
      <w:bookmarkEnd w:id="0"/>
    </w:p>
    <w:p w:rsidR="00584837" w:rsidRDefault="00EE222F">
      <w:pPr>
        <w:snapToGrid w:val="0"/>
        <w:spacing w:line="540" w:lineRule="exact"/>
        <w:ind w:left="0" w:firstLine="640"/>
        <w:rPr>
          <w:rFonts w:eastAsia="宋体"/>
          <w:sz w:val="32"/>
        </w:rPr>
      </w:pPr>
      <w:r>
        <w:rPr>
          <w:rFonts w:eastAsia="宋体" w:hint="eastAsia"/>
          <w:sz w:val="32"/>
        </w:rPr>
        <w:t>货币资金26,017,158.06；其他应收款2,851,009.13；固定资产9,207,644.60；其他应付款28,881,793.09；</w:t>
      </w:r>
      <w:r>
        <w:rPr>
          <w:rFonts w:eastAsia="宋体" w:hint="eastAsia"/>
          <w:color w:val="3C3C3C"/>
          <w:sz w:val="32"/>
        </w:rPr>
        <w:br/>
        <w:t xml:space="preserve">  </w:t>
      </w:r>
      <w:r>
        <w:rPr>
          <w:rFonts w:eastAsia="宋体" w:hint="eastAsia"/>
          <w:b/>
          <w:color w:val="3C3C3C"/>
          <w:sz w:val="32"/>
        </w:rPr>
        <w:t xml:space="preserve">  </w:t>
      </w:r>
      <w:r>
        <w:rPr>
          <w:rFonts w:eastAsia="宋体"/>
          <w:color w:val="3C3C3C"/>
          <w:sz w:val="32"/>
          <w:shd w:val="clear" w:color="000000" w:fill="FFFFFF"/>
        </w:rPr>
        <w:t>七、201</w:t>
      </w:r>
      <w:r>
        <w:rPr>
          <w:rFonts w:eastAsia="宋体" w:hint="eastAsia"/>
          <w:color w:val="3C3C3C"/>
          <w:sz w:val="32"/>
          <w:shd w:val="clear" w:color="000000" w:fill="FFFFFF"/>
        </w:rPr>
        <w:t>9</w:t>
      </w:r>
      <w:r>
        <w:rPr>
          <w:rFonts w:eastAsia="宋体"/>
          <w:color w:val="3C3C3C"/>
          <w:sz w:val="32"/>
          <w:shd w:val="clear" w:color="000000" w:fill="FFFFFF"/>
        </w:rPr>
        <w:t>年部门决算表格（见附件）</w:t>
      </w:r>
      <w:r>
        <w:rPr>
          <w:rFonts w:eastAsia="宋体" w:hint="eastAsia"/>
          <w:b/>
          <w:color w:val="3C3C3C"/>
          <w:sz w:val="32"/>
        </w:rPr>
        <w:br/>
        <w:t xml:space="preserve">    </w:t>
      </w:r>
      <w:r>
        <w:rPr>
          <w:rFonts w:eastAsia="宋体" w:hint="eastAsia"/>
          <w:b/>
          <w:color w:val="3C3C3C"/>
          <w:sz w:val="32"/>
          <w:shd w:val="clear" w:color="000000" w:fill="FFFFFF"/>
        </w:rPr>
        <w:t>附件：</w:t>
      </w:r>
      <w:r>
        <w:rPr>
          <w:rFonts w:eastAsia="宋体" w:hint="eastAsia"/>
          <w:b/>
          <w:color w:val="3C3C3C"/>
          <w:sz w:val="32"/>
        </w:rPr>
        <w:br/>
      </w:r>
      <w:r>
        <w:rPr>
          <w:rFonts w:eastAsia="宋体" w:hint="eastAsia"/>
          <w:color w:val="3C3C3C"/>
          <w:sz w:val="32"/>
        </w:rPr>
        <w:t xml:space="preserve">    </w:t>
      </w:r>
      <w:r>
        <w:rPr>
          <w:rFonts w:eastAsia="宋体" w:hint="eastAsia"/>
          <w:color w:val="3C3C3C"/>
          <w:sz w:val="32"/>
          <w:shd w:val="clear" w:color="000000" w:fill="FFFFFF"/>
        </w:rPr>
        <w:t>1.2019年收支决算总表</w:t>
      </w:r>
    </w:p>
    <w:p w:rsidR="00584837" w:rsidRDefault="00EE222F">
      <w:pPr>
        <w:widowControl/>
        <w:pBdr>
          <w:bottom w:val="dotted" w:sz="6" w:space="11" w:color="7FABF4"/>
        </w:pBdr>
        <w:spacing w:line="360" w:lineRule="auto"/>
        <w:ind w:left="0" w:firstLine="640"/>
        <w:rPr>
          <w:rFonts w:eastAsia="宋体"/>
          <w:color w:val="3C3C3C"/>
          <w:sz w:val="32"/>
          <w:shd w:val="clear" w:color="000000" w:fill="FFFFFF"/>
        </w:rPr>
      </w:pPr>
      <w:r>
        <w:rPr>
          <w:rFonts w:eastAsia="宋体" w:hint="eastAsia"/>
          <w:color w:val="3C3C3C"/>
          <w:sz w:val="32"/>
          <w:shd w:val="clear" w:color="000000" w:fill="FFFFFF"/>
        </w:rPr>
        <w:t>2.2019年支出决算表</w:t>
      </w:r>
    </w:p>
    <w:p w:rsidR="00584837" w:rsidRDefault="00EE222F">
      <w:pPr>
        <w:widowControl/>
        <w:pBdr>
          <w:bottom w:val="dotted" w:sz="6" w:space="11" w:color="7FABF4"/>
        </w:pBdr>
        <w:spacing w:line="360" w:lineRule="auto"/>
        <w:ind w:left="0" w:firstLine="640"/>
        <w:rPr>
          <w:rFonts w:eastAsia="宋体"/>
          <w:color w:val="3C3C3C"/>
          <w:sz w:val="32"/>
          <w:shd w:val="clear" w:color="000000" w:fill="FFFFFF"/>
        </w:rPr>
      </w:pPr>
      <w:r>
        <w:rPr>
          <w:rFonts w:eastAsia="宋体" w:hint="eastAsia"/>
          <w:color w:val="3C3C3C"/>
          <w:sz w:val="32"/>
          <w:shd w:val="clear" w:color="000000" w:fill="FFFFFF"/>
        </w:rPr>
        <w:t>3.</w:t>
      </w:r>
      <w:r>
        <w:rPr>
          <w:rFonts w:eastAsia="宋体" w:hint="eastAsia"/>
          <w:color w:val="3C3C3C"/>
          <w:sz w:val="32"/>
        </w:rPr>
        <w:t>2019年公共预算财政拨款支出决算表</w:t>
      </w:r>
    </w:p>
    <w:p w:rsidR="00584837" w:rsidRDefault="00EE222F">
      <w:pPr>
        <w:widowControl/>
        <w:shd w:val="clear" w:color="000000" w:fill="FFFFFF"/>
        <w:spacing w:line="360" w:lineRule="auto"/>
        <w:ind w:left="0" w:firstLine="643"/>
        <w:jc w:val="left"/>
        <w:rPr>
          <w:rFonts w:eastAsia="宋体"/>
          <w:color w:val="3C3C3C"/>
          <w:sz w:val="32"/>
          <w:shd w:val="clear" w:color="000000" w:fill="FFFFFF"/>
        </w:rPr>
      </w:pPr>
      <w:r>
        <w:rPr>
          <w:rFonts w:eastAsia="宋体" w:hint="eastAsia"/>
          <w:b/>
          <w:color w:val="3C3C3C"/>
          <w:sz w:val="32"/>
        </w:rPr>
        <w:t>八、名词解释</w:t>
      </w:r>
      <w:r>
        <w:rPr>
          <w:rFonts w:eastAsia="宋体" w:hint="eastAsia"/>
          <w:b/>
          <w:color w:val="3C3C3C"/>
          <w:sz w:val="32"/>
        </w:rPr>
        <w:br/>
      </w:r>
      <w:r>
        <w:rPr>
          <w:rFonts w:eastAsia="宋体" w:hint="eastAsia"/>
          <w:color w:val="3C3C3C"/>
          <w:sz w:val="32"/>
        </w:rPr>
        <w:t> </w:t>
      </w:r>
      <w:r>
        <w:rPr>
          <w:rFonts w:eastAsia="宋体" w:hint="eastAsia"/>
          <w:color w:val="222222"/>
          <w:sz w:val="32"/>
        </w:rPr>
        <w:t xml:space="preserve">   </w:t>
      </w:r>
      <w:r>
        <w:rPr>
          <w:rFonts w:eastAsia="宋体" w:hint="eastAsia"/>
          <w:color w:val="3C3C3C"/>
          <w:sz w:val="32"/>
          <w:shd w:val="clear" w:color="000000" w:fill="FFFFFF"/>
        </w:rPr>
        <w:t>1.财政拨款:是指财政当年拨付的资金。</w:t>
      </w:r>
    </w:p>
    <w:p w:rsidR="00584837" w:rsidRDefault="00EE222F">
      <w:pPr>
        <w:widowControl/>
        <w:shd w:val="clear" w:color="000000" w:fill="FFFFFF"/>
        <w:spacing w:line="360" w:lineRule="auto"/>
        <w:ind w:left="0" w:firstLine="640"/>
        <w:jc w:val="left"/>
        <w:rPr>
          <w:rFonts w:eastAsia="宋体"/>
          <w:color w:val="3C3C3C"/>
          <w:sz w:val="32"/>
          <w:shd w:val="clear" w:color="000000" w:fill="FFFFFF"/>
        </w:rPr>
      </w:pPr>
      <w:r>
        <w:rPr>
          <w:rFonts w:eastAsia="宋体" w:hint="eastAsia"/>
          <w:color w:val="3C3C3C"/>
          <w:sz w:val="32"/>
          <w:shd w:val="clear" w:color="000000" w:fill="FFFFFF"/>
        </w:rPr>
        <w:t>2.一般公共服务（类）支出:指政府提供一般公共服务的支出。如财政局保障机构正常运转、开展财政管理活动所发生的基本支出和项目支出。</w:t>
      </w:r>
    </w:p>
    <w:p w:rsidR="00584837" w:rsidRDefault="00EE222F">
      <w:pPr>
        <w:widowControl/>
        <w:shd w:val="clear" w:color="000000" w:fill="FFFFFF"/>
        <w:spacing w:line="360" w:lineRule="auto"/>
        <w:ind w:left="0" w:firstLine="640"/>
        <w:jc w:val="left"/>
        <w:rPr>
          <w:rFonts w:eastAsia="宋体"/>
          <w:color w:val="3C3C3C"/>
          <w:sz w:val="32"/>
          <w:shd w:val="clear" w:color="000000" w:fill="FFFFFF"/>
        </w:rPr>
      </w:pPr>
      <w:r>
        <w:rPr>
          <w:rFonts w:eastAsia="宋体" w:hint="eastAsia"/>
          <w:color w:val="3C3C3C"/>
          <w:sz w:val="32"/>
          <w:shd w:val="clear" w:color="000000" w:fill="FFFFFF"/>
        </w:rPr>
        <w:t>3.公共安全（类）支出:指政府维护社会公共安全方面的支出。如司法机关及所属单位保障机构正常运转、开展司法管理活动所发生的基本支出和项目支出。</w:t>
      </w:r>
    </w:p>
    <w:p w:rsidR="00584837" w:rsidRDefault="00EE222F">
      <w:pPr>
        <w:widowControl/>
        <w:shd w:val="clear" w:color="000000" w:fill="FFFFFF"/>
        <w:spacing w:line="360" w:lineRule="auto"/>
        <w:ind w:left="0" w:firstLine="640"/>
        <w:jc w:val="left"/>
        <w:rPr>
          <w:rFonts w:eastAsia="宋体"/>
          <w:color w:val="3C3C3C"/>
          <w:sz w:val="32"/>
          <w:shd w:val="clear" w:color="000000" w:fill="FFFFFF"/>
        </w:rPr>
      </w:pPr>
      <w:r>
        <w:rPr>
          <w:rFonts w:eastAsia="宋体" w:hint="eastAsia"/>
          <w:color w:val="3C3C3C"/>
          <w:sz w:val="32"/>
          <w:shd w:val="clear" w:color="000000" w:fill="FFFFFF"/>
        </w:rPr>
        <w:t>4.教育(类)支出:指政府教育事务支出。包括教育管理事务、普通教育、职工教育、成人教育、广播电视教育、留学教育、特殊教育等。如保障学校正常运转、开展教育管理活动所发生的基本支出和项目支出。</w:t>
      </w:r>
    </w:p>
    <w:p w:rsidR="00584837" w:rsidRDefault="00EE222F">
      <w:pPr>
        <w:widowControl/>
        <w:shd w:val="clear" w:color="000000" w:fill="FFFFFF"/>
        <w:spacing w:line="360" w:lineRule="auto"/>
        <w:ind w:left="0" w:firstLine="640"/>
        <w:jc w:val="left"/>
        <w:rPr>
          <w:rFonts w:eastAsia="宋体"/>
          <w:color w:val="3C3C3C"/>
          <w:sz w:val="32"/>
          <w:shd w:val="clear" w:color="000000" w:fill="FFFFFF"/>
        </w:rPr>
      </w:pPr>
      <w:r>
        <w:rPr>
          <w:rFonts w:eastAsia="宋体" w:hint="eastAsia"/>
          <w:color w:val="3C3C3C"/>
          <w:sz w:val="32"/>
          <w:shd w:val="clear" w:color="000000" w:fill="FFFFFF"/>
        </w:rPr>
        <w:lastRenderedPageBreak/>
        <w:t>5.社会保障和就业（类）支出:指政府在社会保障与就业方面的支出。包括社会保障与就业管理事务、民政管理事务、财政对社会保险基金补助、行政事业单位离退休、企业改革补助、就业补助、抚恤、退役安置、社会福利、残疾人事业、城市居民最低生活保障、自然灾害生活救助、红十字会事务等。如行政机关开支的离退休人员经费和离退休干部管理机构为离退休人员提供管理和服务所发生的工作支出。</w:t>
      </w:r>
    </w:p>
    <w:p w:rsidR="00584837" w:rsidRDefault="00EE222F">
      <w:pPr>
        <w:widowControl/>
        <w:shd w:val="clear" w:color="000000" w:fill="FFFFFF"/>
        <w:spacing w:line="360" w:lineRule="auto"/>
        <w:ind w:left="0" w:firstLine="640"/>
        <w:jc w:val="left"/>
        <w:rPr>
          <w:rFonts w:eastAsia="宋体"/>
          <w:color w:val="3C3C3C"/>
          <w:sz w:val="32"/>
          <w:shd w:val="clear" w:color="000000" w:fill="FFFFFF"/>
        </w:rPr>
      </w:pPr>
      <w:r>
        <w:rPr>
          <w:rFonts w:eastAsia="宋体" w:hint="eastAsia"/>
          <w:color w:val="3C3C3C"/>
          <w:sz w:val="32"/>
          <w:shd w:val="clear" w:color="000000" w:fill="FFFFFF"/>
        </w:rPr>
        <w:t>6.城乡社区事务（类）支出:指城乡社区事务支出。包括城乡社区管理事务、城乡社区规划与管理、城乡社区公共设施、城乡社区住宅、城乡社区环境卫生、建设市场管理与监督支出等。如土地整理支出。</w:t>
      </w:r>
    </w:p>
    <w:p w:rsidR="00584837" w:rsidRDefault="00EE222F">
      <w:pPr>
        <w:widowControl/>
        <w:shd w:val="clear" w:color="000000" w:fill="FFFFFF"/>
        <w:spacing w:line="360" w:lineRule="auto"/>
        <w:ind w:left="0" w:firstLine="640"/>
        <w:jc w:val="left"/>
        <w:rPr>
          <w:rFonts w:eastAsia="宋体"/>
          <w:color w:val="3C3C3C"/>
          <w:sz w:val="32"/>
          <w:shd w:val="clear" w:color="000000" w:fill="FFFFFF"/>
        </w:rPr>
      </w:pPr>
      <w:r>
        <w:rPr>
          <w:rFonts w:eastAsia="宋体" w:hint="eastAsia"/>
          <w:color w:val="3C3C3C"/>
          <w:sz w:val="32"/>
          <w:shd w:val="clear" w:color="000000" w:fill="FFFFFF"/>
        </w:rPr>
        <w:t>7.农林水事务（类）支出:指农林水事务支出。包括农业支出、林业支出、水利支出、扶贫支出、农业综合开发支出等。如保障机构正常运转、开展水利管理活动所发生的基本支出和项目支出。</w:t>
      </w:r>
    </w:p>
    <w:p w:rsidR="00584837" w:rsidRDefault="00EE222F">
      <w:pPr>
        <w:widowControl/>
        <w:shd w:val="clear" w:color="000000" w:fill="FFFFFF"/>
        <w:spacing w:line="360" w:lineRule="auto"/>
        <w:ind w:left="0" w:firstLine="640"/>
        <w:jc w:val="left"/>
        <w:rPr>
          <w:rFonts w:eastAsia="宋体"/>
          <w:color w:val="3C3C3C"/>
          <w:sz w:val="32"/>
          <w:shd w:val="clear" w:color="000000" w:fill="FFFFFF"/>
        </w:rPr>
      </w:pPr>
      <w:r>
        <w:rPr>
          <w:rFonts w:eastAsia="宋体" w:hint="eastAsia"/>
          <w:color w:val="3C3C3C"/>
          <w:sz w:val="32"/>
          <w:shd w:val="clear" w:color="000000" w:fill="FFFFFF"/>
        </w:rPr>
        <w:t>8.资源勘探电力信息等事务（类）支出，指资源勘探电力信息等事务支出。包括资源勘探支出、制造业支出、建筑业支出、电力监管支出、工业和信息产业监管支出、安全生产监管支出、国有资产监管支出、支持中小企业发展和管理支出等。如扶持镇属企业、开展业务等所发生的基本支出和项目支出。</w:t>
      </w:r>
    </w:p>
    <w:p w:rsidR="00584837" w:rsidRDefault="00EE222F">
      <w:pPr>
        <w:widowControl/>
        <w:shd w:val="clear" w:color="000000" w:fill="FFFFFF"/>
        <w:spacing w:line="360" w:lineRule="auto"/>
        <w:ind w:left="0" w:firstLine="640"/>
        <w:jc w:val="left"/>
        <w:rPr>
          <w:rFonts w:eastAsia="宋体"/>
          <w:color w:val="3C3C3C"/>
          <w:sz w:val="32"/>
          <w:shd w:val="clear" w:color="000000" w:fill="FFFFFF"/>
        </w:rPr>
      </w:pPr>
      <w:r>
        <w:rPr>
          <w:rFonts w:eastAsia="宋体" w:hint="eastAsia"/>
          <w:color w:val="3C3C3C"/>
          <w:sz w:val="32"/>
          <w:shd w:val="clear" w:color="000000" w:fill="FFFFFF"/>
        </w:rPr>
        <w:lastRenderedPageBreak/>
        <w:t>9.基本支出:是指为保障机构正常运转、完成日常工作任务而发生的人员支出和公用支出。</w:t>
      </w:r>
    </w:p>
    <w:p w:rsidR="00584837" w:rsidRDefault="00EE222F">
      <w:pPr>
        <w:widowControl/>
        <w:shd w:val="clear" w:color="000000" w:fill="FFFFFF"/>
        <w:spacing w:line="360" w:lineRule="auto"/>
        <w:ind w:left="0" w:firstLine="640"/>
        <w:jc w:val="left"/>
        <w:rPr>
          <w:rFonts w:eastAsia="宋体"/>
          <w:color w:val="3C3C3C"/>
          <w:sz w:val="32"/>
          <w:shd w:val="clear" w:color="000000" w:fill="FFFFFF"/>
        </w:rPr>
      </w:pPr>
      <w:r>
        <w:rPr>
          <w:rFonts w:eastAsia="宋体" w:hint="eastAsia"/>
          <w:color w:val="3C3C3C"/>
          <w:sz w:val="32"/>
          <w:shd w:val="clear" w:color="000000" w:fill="FFFFFF"/>
        </w:rPr>
        <w:t>10.项目支出:是指在基本支出之外为完成特定的行政工作任务或事业发展目标所发生的支出。</w:t>
      </w:r>
    </w:p>
    <w:p w:rsidR="00584837" w:rsidRDefault="00EE222F">
      <w:pPr>
        <w:widowControl/>
        <w:pBdr>
          <w:bottom w:val="dotted" w:sz="6" w:space="11" w:color="7FABF4"/>
        </w:pBdr>
        <w:spacing w:line="360" w:lineRule="auto"/>
        <w:ind w:left="0" w:firstLine="640"/>
        <w:rPr>
          <w:rFonts w:eastAsia="宋体"/>
          <w:color w:val="3C3C3C"/>
          <w:sz w:val="32"/>
        </w:rPr>
      </w:pPr>
      <w:r>
        <w:rPr>
          <w:rFonts w:eastAsia="宋体" w:hint="eastAsia"/>
          <w:color w:val="3C3C3C"/>
          <w:sz w:val="32"/>
          <w:shd w:val="clear" w:color="000000" w:fill="FFFFFF"/>
        </w:rPr>
        <w:br/>
      </w:r>
      <w:r>
        <w:rPr>
          <w:rFonts w:eastAsia="宋体" w:hint="eastAsia"/>
          <w:color w:val="3C3C3C"/>
          <w:sz w:val="32"/>
        </w:rPr>
        <w:t>                           </w:t>
      </w:r>
    </w:p>
    <w:p w:rsidR="00584837" w:rsidRDefault="00584837">
      <w:pPr>
        <w:ind w:left="0"/>
        <w:rPr>
          <w:rFonts w:eastAsia="宋体"/>
          <w:sz w:val="32"/>
        </w:rPr>
      </w:pPr>
    </w:p>
    <w:sectPr w:rsidR="00584837" w:rsidSect="00584837">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9E0" w:rsidRDefault="00EE49E0">
      <w:r>
        <w:separator/>
      </w:r>
    </w:p>
  </w:endnote>
  <w:endnote w:type="continuationSeparator" w:id="0">
    <w:p w:rsidR="00EE49E0" w:rsidRDefault="00EE49E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37" w:rsidRDefault="00584837">
    <w:pPr>
      <w:framePr w:wrap="around" w:vAnchor="text" w:hAnchor="margin" w:xAlign="center" w:y="1"/>
      <w:tabs>
        <w:tab w:val="center" w:pos="4153"/>
        <w:tab w:val="right" w:pos="8306"/>
      </w:tabs>
      <w:snapToGrid w:val="0"/>
      <w:ind w:left="0"/>
      <w:jc w:val="left"/>
      <w:textAlignment w:val="baseline"/>
      <w:rPr>
        <w:rFonts w:ascii="Times New Roman" w:eastAsia="宋体" w:hAnsi="Times New Roman"/>
        <w:sz w:val="18"/>
      </w:rPr>
    </w:pPr>
    <w:r>
      <w:rPr>
        <w:rFonts w:ascii="Times New Roman" w:eastAsia="宋体" w:hAnsi="Times New Roman"/>
        <w:sz w:val="18"/>
      </w:rPr>
      <w:fldChar w:fldCharType="begin"/>
    </w:r>
    <w:r w:rsidR="00EE222F">
      <w:rPr>
        <w:rFonts w:ascii="Times New Roman" w:eastAsia="宋体" w:hAnsi="Times New Roman"/>
        <w:sz w:val="18"/>
      </w:rPr>
      <w:instrText>PAGE</w:instrText>
    </w:r>
    <w:r>
      <w:rPr>
        <w:rFonts w:ascii="Times New Roman" w:eastAsia="宋体" w:hAnsi="Times New Roman"/>
        <w:sz w:val="18"/>
      </w:rPr>
      <w:fldChar w:fldCharType="separate"/>
    </w:r>
    <w:r w:rsidR="0076478B">
      <w:rPr>
        <w:rFonts w:ascii="Times New Roman" w:eastAsia="宋体" w:hAnsi="Times New Roman"/>
        <w:noProof/>
        <w:sz w:val="18"/>
      </w:rPr>
      <w:t>6</w:t>
    </w:r>
    <w:r>
      <w:rPr>
        <w:rFonts w:ascii="Times New Roman" w:eastAsia="宋体" w:hAnsi="Times New Roman"/>
        <w:sz w:val="18"/>
      </w:rPr>
      <w:fldChar w:fldCharType="end"/>
    </w:r>
  </w:p>
  <w:p w:rsidR="00584837" w:rsidRDefault="00584837">
    <w:pPr>
      <w:tabs>
        <w:tab w:val="center" w:pos="4153"/>
        <w:tab w:val="right" w:pos="8306"/>
      </w:tabs>
      <w:snapToGrid w:val="0"/>
      <w:ind w:left="0"/>
      <w:jc w:val="left"/>
      <w:rPr>
        <w:rFonts w:ascii="Times New Roman" w:eastAsia="宋体" w:hAnsi="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9E0" w:rsidRDefault="00EE49E0">
      <w:r>
        <w:separator/>
      </w:r>
    </w:p>
  </w:footnote>
  <w:footnote w:type="continuationSeparator" w:id="0">
    <w:p w:rsidR="00EE49E0" w:rsidRDefault="00EE4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837" w:rsidRDefault="00584837">
    <w:pPr>
      <w:tabs>
        <w:tab w:val="center" w:pos="4153"/>
        <w:tab w:val="right" w:pos="8306"/>
      </w:tabs>
      <w:snapToGrid w:val="0"/>
      <w:ind w:left="0"/>
      <w:jc w:val="center"/>
      <w:rPr>
        <w:rFonts w:ascii="Times New Roman" w:eastAsia="宋体" w:hAnsi="Times New Roman"/>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proofState w:spelling="clean" w:grammar="clean"/>
  <w:stylePaneFormatFilter w:val="0000"/>
  <w:defaultTabStop w:val="420"/>
  <w:displayHorizontalDrawingGridEvery w:val="0"/>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F4D"/>
    <w:rsid w:val="00584837"/>
    <w:rsid w:val="0076478B"/>
    <w:rsid w:val="00DC5F4D"/>
    <w:rsid w:val="00EE222F"/>
    <w:rsid w:val="00EE49E0"/>
    <w:rsid w:val="4686502E"/>
    <w:rsid w:val="7AD718B1"/>
    <w:rsid w:val="7FA86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Theme="minorEastAsia"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84837"/>
    <w:pPr>
      <w:widowControl w:val="0"/>
      <w:ind w:left="5632"/>
      <w:jc w:val="both"/>
    </w:pPr>
  </w:style>
  <w:style w:type="paragraph" w:styleId="1">
    <w:name w:val="heading 1"/>
    <w:next w:val="a"/>
    <w:qFormat/>
    <w:rsid w:val="00584837"/>
    <w:pPr>
      <w:wordWrap w:val="0"/>
      <w:spacing w:after="160"/>
      <w:ind w:left="1024"/>
      <w:jc w:val="both"/>
      <w:outlineLvl w:val="0"/>
    </w:pPr>
  </w:style>
  <w:style w:type="paragraph" w:styleId="2">
    <w:name w:val="heading 2"/>
    <w:next w:val="a"/>
    <w:qFormat/>
    <w:rsid w:val="00584837"/>
    <w:pPr>
      <w:wordWrap w:val="0"/>
      <w:spacing w:after="160"/>
      <w:ind w:left="1024"/>
      <w:jc w:val="both"/>
      <w:outlineLvl w:val="1"/>
    </w:pPr>
  </w:style>
  <w:style w:type="paragraph" w:styleId="3">
    <w:name w:val="heading 3"/>
    <w:next w:val="a"/>
    <w:qFormat/>
    <w:rsid w:val="00584837"/>
    <w:pPr>
      <w:wordWrap w:val="0"/>
      <w:spacing w:after="160"/>
      <w:ind w:left="1400" w:firstLine="1136"/>
      <w:jc w:val="both"/>
      <w:outlineLvl w:val="2"/>
    </w:pPr>
  </w:style>
  <w:style w:type="paragraph" w:styleId="4">
    <w:name w:val="heading 4"/>
    <w:next w:val="a"/>
    <w:qFormat/>
    <w:rsid w:val="00584837"/>
    <w:pPr>
      <w:wordWrap w:val="0"/>
      <w:spacing w:after="160"/>
      <w:ind w:left="1600" w:firstLine="2160"/>
      <w:jc w:val="both"/>
      <w:outlineLvl w:val="3"/>
    </w:pPr>
  </w:style>
  <w:style w:type="paragraph" w:styleId="5">
    <w:name w:val="heading 5"/>
    <w:next w:val="a"/>
    <w:qFormat/>
    <w:rsid w:val="00584837"/>
    <w:pPr>
      <w:wordWrap w:val="0"/>
      <w:spacing w:after="160"/>
      <w:ind w:left="1800" w:firstLine="1136"/>
      <w:jc w:val="both"/>
      <w:outlineLvl w:val="4"/>
    </w:pPr>
  </w:style>
  <w:style w:type="paragraph" w:styleId="6">
    <w:name w:val="heading 6"/>
    <w:next w:val="a"/>
    <w:qFormat/>
    <w:rsid w:val="00584837"/>
    <w:pPr>
      <w:wordWrap w:val="0"/>
      <w:spacing w:after="160"/>
      <w:ind w:left="2000" w:firstLine="2160"/>
      <w:jc w:val="both"/>
      <w:outlineLvl w:val="5"/>
    </w:pPr>
  </w:style>
  <w:style w:type="paragraph" w:styleId="7">
    <w:name w:val="heading 7"/>
    <w:next w:val="a"/>
    <w:qFormat/>
    <w:rsid w:val="00584837"/>
    <w:pPr>
      <w:wordWrap w:val="0"/>
      <w:spacing w:after="160"/>
      <w:ind w:left="2200" w:firstLine="1136"/>
      <w:jc w:val="both"/>
      <w:outlineLvl w:val="6"/>
    </w:pPr>
  </w:style>
  <w:style w:type="paragraph" w:styleId="8">
    <w:name w:val="heading 8"/>
    <w:next w:val="a"/>
    <w:qFormat/>
    <w:rsid w:val="00584837"/>
    <w:pPr>
      <w:wordWrap w:val="0"/>
      <w:spacing w:after="160"/>
      <w:ind w:left="2400" w:firstLine="1136"/>
      <w:jc w:val="both"/>
      <w:outlineLvl w:val="7"/>
    </w:pPr>
  </w:style>
  <w:style w:type="paragraph" w:styleId="9">
    <w:name w:val="heading 9"/>
    <w:next w:val="a"/>
    <w:qFormat/>
    <w:rsid w:val="00584837"/>
    <w:pPr>
      <w:wordWrap w:val="0"/>
      <w:spacing w:after="160"/>
      <w:ind w:left="2600" w:firstLine="1136"/>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qFormat/>
    <w:rsid w:val="00584837"/>
    <w:rPr>
      <w:i/>
      <w:color w:val="auto"/>
      <w:sz w:val="21"/>
    </w:rPr>
  </w:style>
  <w:style w:type="character" w:styleId="a4">
    <w:name w:val="Intense Reference"/>
    <w:qFormat/>
    <w:rsid w:val="00584837"/>
    <w:rPr>
      <w:b/>
      <w:color w:val="auto"/>
      <w:sz w:val="21"/>
    </w:rPr>
  </w:style>
  <w:style w:type="character" w:styleId="a5">
    <w:name w:val="Intense Emphasis"/>
    <w:qFormat/>
    <w:rsid w:val="00584837"/>
    <w:rPr>
      <w:i/>
      <w:color w:val="auto"/>
      <w:sz w:val="21"/>
    </w:rPr>
  </w:style>
  <w:style w:type="character" w:styleId="a6">
    <w:name w:val="Emphasis"/>
    <w:qFormat/>
    <w:rsid w:val="00584837"/>
    <w:rPr>
      <w:i/>
      <w:sz w:val="21"/>
    </w:rPr>
  </w:style>
  <w:style w:type="character" w:styleId="a7">
    <w:name w:val="Strong"/>
    <w:qFormat/>
    <w:rsid w:val="00584837"/>
    <w:rPr>
      <w:b/>
      <w:sz w:val="21"/>
    </w:rPr>
  </w:style>
  <w:style w:type="character" w:styleId="a8">
    <w:name w:val="Subtle Reference"/>
    <w:qFormat/>
    <w:rsid w:val="00584837"/>
    <w:rPr>
      <w:color w:val="auto"/>
      <w:sz w:val="21"/>
    </w:rPr>
  </w:style>
  <w:style w:type="character" w:styleId="a9">
    <w:name w:val="Book Title"/>
    <w:qFormat/>
    <w:rsid w:val="00584837"/>
    <w:rPr>
      <w:b/>
      <w:i/>
      <w:sz w:val="21"/>
    </w:rPr>
  </w:style>
  <w:style w:type="paragraph" w:styleId="90">
    <w:name w:val="toc 9"/>
    <w:next w:val="a"/>
    <w:rsid w:val="00584837"/>
    <w:pPr>
      <w:wordWrap w:val="0"/>
      <w:ind w:left="1183"/>
      <w:jc w:val="both"/>
    </w:pPr>
  </w:style>
  <w:style w:type="paragraph" w:styleId="aa">
    <w:name w:val="Intense Quote"/>
    <w:next w:val="a"/>
    <w:qFormat/>
    <w:rsid w:val="00584837"/>
    <w:pPr>
      <w:wordWrap w:val="0"/>
      <w:spacing w:before="360" w:after="360"/>
      <w:ind w:left="3766" w:right="950"/>
      <w:jc w:val="center"/>
    </w:pPr>
    <w:rPr>
      <w:i/>
    </w:rPr>
  </w:style>
  <w:style w:type="paragraph" w:styleId="80">
    <w:name w:val="toc 8"/>
    <w:next w:val="a"/>
    <w:rsid w:val="00584837"/>
    <w:pPr>
      <w:wordWrap w:val="0"/>
      <w:ind w:left="1270"/>
      <w:jc w:val="both"/>
    </w:pPr>
  </w:style>
  <w:style w:type="paragraph" w:styleId="30">
    <w:name w:val="toc 3"/>
    <w:next w:val="a"/>
    <w:rsid w:val="00584837"/>
    <w:pPr>
      <w:wordWrap w:val="0"/>
      <w:ind w:left="1193"/>
      <w:jc w:val="both"/>
    </w:pPr>
  </w:style>
  <w:style w:type="paragraph" w:styleId="70">
    <w:name w:val="toc 7"/>
    <w:next w:val="a"/>
    <w:rsid w:val="00584837"/>
    <w:pPr>
      <w:wordWrap w:val="0"/>
      <w:ind w:left="1101"/>
      <w:jc w:val="both"/>
    </w:pPr>
  </w:style>
  <w:style w:type="paragraph" w:styleId="50">
    <w:name w:val="toc 5"/>
    <w:next w:val="a"/>
    <w:rsid w:val="00584837"/>
    <w:pPr>
      <w:wordWrap w:val="0"/>
      <w:ind w:left="1275"/>
      <w:jc w:val="both"/>
    </w:pPr>
  </w:style>
  <w:style w:type="paragraph" w:styleId="ab">
    <w:name w:val="Normal Indent"/>
    <w:next w:val="a"/>
    <w:rsid w:val="00584837"/>
    <w:pPr>
      <w:wordWrap w:val="0"/>
      <w:ind w:left="1096"/>
      <w:jc w:val="both"/>
    </w:pPr>
  </w:style>
  <w:style w:type="paragraph" w:styleId="TOC">
    <w:name w:val="TOC Heading"/>
    <w:next w:val="a"/>
    <w:qFormat/>
    <w:rsid w:val="00584837"/>
    <w:pPr>
      <w:wordWrap w:val="0"/>
      <w:ind w:left="2560"/>
    </w:pPr>
  </w:style>
  <w:style w:type="paragraph" w:styleId="ac">
    <w:name w:val="Subtitle"/>
    <w:next w:val="a"/>
    <w:qFormat/>
    <w:rsid w:val="00584837"/>
    <w:pPr>
      <w:wordWrap w:val="0"/>
      <w:spacing w:after="60"/>
      <w:ind w:left="1024"/>
      <w:jc w:val="center"/>
    </w:pPr>
  </w:style>
  <w:style w:type="paragraph" w:styleId="40">
    <w:name w:val="toc 4"/>
    <w:next w:val="a"/>
    <w:rsid w:val="00584837"/>
    <w:pPr>
      <w:wordWrap w:val="0"/>
      <w:ind w:left="1106"/>
      <w:jc w:val="both"/>
    </w:pPr>
  </w:style>
  <w:style w:type="paragraph" w:styleId="60">
    <w:name w:val="toc 6"/>
    <w:next w:val="a"/>
    <w:rsid w:val="00584837"/>
    <w:pPr>
      <w:wordWrap w:val="0"/>
      <w:ind w:left="1188"/>
      <w:jc w:val="both"/>
    </w:pPr>
  </w:style>
  <w:style w:type="paragraph" w:styleId="20">
    <w:name w:val="toc 2"/>
    <w:next w:val="a"/>
    <w:rsid w:val="00584837"/>
    <w:pPr>
      <w:wordWrap w:val="0"/>
      <w:ind w:left="1024"/>
      <w:jc w:val="both"/>
    </w:pPr>
  </w:style>
  <w:style w:type="paragraph" w:styleId="ad">
    <w:name w:val="List Paragraph"/>
    <w:next w:val="a"/>
    <w:qFormat/>
    <w:rsid w:val="00584837"/>
    <w:pPr>
      <w:wordWrap w:val="0"/>
      <w:ind w:left="1106"/>
      <w:jc w:val="both"/>
    </w:pPr>
  </w:style>
  <w:style w:type="paragraph" w:styleId="ae">
    <w:name w:val="Quote"/>
    <w:next w:val="a"/>
    <w:qFormat/>
    <w:rsid w:val="00584837"/>
    <w:pPr>
      <w:wordWrap w:val="0"/>
      <w:spacing w:before="200" w:after="160"/>
      <w:ind w:left="3680" w:right="864"/>
      <w:jc w:val="center"/>
    </w:pPr>
    <w:rPr>
      <w:i/>
    </w:rPr>
  </w:style>
  <w:style w:type="paragraph" w:styleId="af">
    <w:name w:val="header"/>
    <w:basedOn w:val="a"/>
    <w:link w:val="Char"/>
    <w:rsid w:val="00DC5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
    <w:rsid w:val="00DC5F4D"/>
    <w:rPr>
      <w:sz w:val="18"/>
      <w:szCs w:val="18"/>
    </w:rPr>
  </w:style>
  <w:style w:type="paragraph" w:styleId="af0">
    <w:name w:val="footer"/>
    <w:basedOn w:val="a"/>
    <w:link w:val="Char0"/>
    <w:rsid w:val="00DC5F4D"/>
    <w:pPr>
      <w:tabs>
        <w:tab w:val="center" w:pos="4153"/>
        <w:tab w:val="right" w:pos="8306"/>
      </w:tabs>
      <w:snapToGrid w:val="0"/>
      <w:jc w:val="left"/>
    </w:pPr>
    <w:rPr>
      <w:sz w:val="18"/>
      <w:szCs w:val="18"/>
    </w:rPr>
  </w:style>
  <w:style w:type="character" w:customStyle="1" w:styleId="Char0">
    <w:name w:val="页脚 Char"/>
    <w:basedOn w:val="a0"/>
    <w:link w:val="af0"/>
    <w:rsid w:val="00DC5F4D"/>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2E7F-9E58-4749-B163-093AF121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371</Words>
  <Characters>2119</Characters>
  <Application>Microsoft Office Word</Application>
  <DocSecurity>0</DocSecurity>
  <Lines>17</Lines>
  <Paragraphs>4</Paragraphs>
  <Notes>0</Notes>
  <ScaleCrop>false</ScaleCrop>
  <Company>Microsoft</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本溪市溪湖区石桥子街道办事处</dc:title>
  <dc:subject/>
  <dc:creator>lenovo</dc:creator>
  <cp:keywords/>
  <cp:lastModifiedBy>Microsoft</cp:lastModifiedBy>
  <cp:revision>2</cp:revision>
  <dcterms:created xsi:type="dcterms:W3CDTF">2021-05-27T01:37:00Z</dcterms:created>
  <dcterms:modified xsi:type="dcterms:W3CDTF">2021-05-27T01:37:00Z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