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关于</w:t>
      </w:r>
      <w:r w:rsidR="006F2C42">
        <w:rPr>
          <w:rFonts w:asciiTheme="majorEastAsia" w:eastAsiaTheme="majorEastAsia" w:hAnsiTheme="majorEastAsia" w:hint="eastAsia"/>
          <w:color w:val="000000"/>
          <w:sz w:val="44"/>
          <w:szCs w:val="44"/>
        </w:rPr>
        <w:t>202</w:t>
      </w:r>
      <w:r w:rsidR="00641C9C">
        <w:rPr>
          <w:rFonts w:asciiTheme="majorEastAsia" w:eastAsiaTheme="majorEastAsia" w:hAnsiTheme="majorEastAsia"/>
          <w:color w:val="000000"/>
          <w:sz w:val="44"/>
          <w:szCs w:val="44"/>
        </w:rPr>
        <w:t>0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年度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本溪高新区</w:t>
      </w:r>
    </w:p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一般公共预算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收支决算的说明</w:t>
      </w:r>
    </w:p>
    <w:p w:rsidR="00C70324" w:rsidRDefault="00C70324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</w:t>
      </w:r>
      <w:r w:rsidR="00641C9C">
        <w:rPr>
          <w:rFonts w:eastAsia="仿宋_GB2312"/>
          <w:color w:val="000000"/>
        </w:rPr>
        <w:t>0</w:t>
      </w:r>
      <w:r w:rsidR="0003501D">
        <w:rPr>
          <w:rFonts w:eastAsia="仿宋_GB2312"/>
          <w:color w:val="000000"/>
        </w:rPr>
        <w:t>年，</w:t>
      </w:r>
      <w:r w:rsidR="00641C9C">
        <w:rPr>
          <w:rFonts w:eastAsia="仿宋_GB2312" w:hint="eastAsia"/>
        </w:rPr>
        <w:t>全区</w:t>
      </w:r>
      <w:r w:rsidR="00641C9C">
        <w:rPr>
          <w:rFonts w:eastAsia="仿宋_GB2312"/>
        </w:rPr>
        <w:t>一般公共预算收入</w:t>
      </w:r>
      <w:r w:rsidR="00641C9C">
        <w:rPr>
          <w:rFonts w:eastAsia="仿宋_GB2312"/>
        </w:rPr>
        <w:t>4.6</w:t>
      </w:r>
      <w:r w:rsidR="00641C9C">
        <w:rPr>
          <w:rFonts w:eastAsia="仿宋_GB2312"/>
        </w:rPr>
        <w:t>亿元，其中：税收收入完成</w:t>
      </w:r>
      <w:r w:rsidR="00641C9C">
        <w:rPr>
          <w:rFonts w:eastAsia="仿宋_GB2312"/>
        </w:rPr>
        <w:t>3.8</w:t>
      </w:r>
      <w:r w:rsidR="00641C9C">
        <w:rPr>
          <w:rFonts w:eastAsia="仿宋_GB2312"/>
        </w:rPr>
        <w:t>亿元；非税收入完成</w:t>
      </w:r>
      <w:r w:rsidR="00641C9C">
        <w:rPr>
          <w:rFonts w:eastAsia="仿宋_GB2312"/>
        </w:rPr>
        <w:t>0.8</w:t>
      </w:r>
      <w:r w:rsidR="00641C9C">
        <w:rPr>
          <w:rFonts w:eastAsia="仿宋_GB2312"/>
        </w:rPr>
        <w:t>亿元。一般公共预算支出</w:t>
      </w:r>
      <w:r w:rsidR="00641C9C">
        <w:rPr>
          <w:rFonts w:eastAsia="仿宋_GB2312"/>
        </w:rPr>
        <w:t>3.8</w:t>
      </w:r>
      <w:r w:rsidR="00641C9C">
        <w:rPr>
          <w:rFonts w:eastAsia="仿宋_GB2312"/>
        </w:rPr>
        <w:t>亿元。</w:t>
      </w:r>
    </w:p>
    <w:p w:rsidR="00641C9C" w:rsidRDefault="00641C9C" w:rsidP="00641C9C">
      <w:pPr>
        <w:ind w:firstLine="615"/>
        <w:rPr>
          <w:rFonts w:eastAsia="仿宋_GB2312"/>
        </w:rPr>
      </w:pPr>
      <w:r>
        <w:rPr>
          <w:rFonts w:eastAsia="仿宋_GB2312" w:hint="eastAsia"/>
        </w:rPr>
        <w:t>全区</w:t>
      </w:r>
      <w:r>
        <w:rPr>
          <w:rFonts w:eastAsia="仿宋_GB2312"/>
        </w:rPr>
        <w:t>一般公共预算收入</w:t>
      </w:r>
      <w:r>
        <w:rPr>
          <w:rFonts w:eastAsia="仿宋_GB2312"/>
        </w:rPr>
        <w:t>4.6</w:t>
      </w:r>
      <w:r>
        <w:rPr>
          <w:rFonts w:eastAsia="仿宋_GB2312"/>
        </w:rPr>
        <w:t>亿元，加上各类上级补助</w:t>
      </w:r>
      <w:r>
        <w:rPr>
          <w:rFonts w:eastAsia="仿宋_GB2312"/>
        </w:rPr>
        <w:t>1.5</w:t>
      </w:r>
      <w:r>
        <w:rPr>
          <w:rFonts w:eastAsia="仿宋_GB2312"/>
        </w:rPr>
        <w:t>亿元、债券转贷收入</w:t>
      </w:r>
      <w:r>
        <w:rPr>
          <w:rFonts w:eastAsia="仿宋_GB2312"/>
        </w:rPr>
        <w:t>2.3</w:t>
      </w:r>
      <w:r>
        <w:rPr>
          <w:rFonts w:eastAsia="仿宋_GB2312"/>
        </w:rPr>
        <w:t>亿元、上年结转等</w:t>
      </w:r>
      <w:r>
        <w:rPr>
          <w:rFonts w:eastAsia="仿宋_GB2312"/>
        </w:rPr>
        <w:t>0.3</w:t>
      </w:r>
      <w:r>
        <w:rPr>
          <w:rFonts w:eastAsia="仿宋_GB2312"/>
        </w:rPr>
        <w:t>亿元后，收入总计为</w:t>
      </w:r>
      <w:r>
        <w:rPr>
          <w:rFonts w:eastAsia="仿宋_GB2312"/>
        </w:rPr>
        <w:t>8.7</w:t>
      </w:r>
      <w:r>
        <w:rPr>
          <w:rFonts w:eastAsia="仿宋_GB2312"/>
        </w:rPr>
        <w:t>亿元；一般公共预算支出</w:t>
      </w:r>
      <w:r>
        <w:rPr>
          <w:rFonts w:eastAsia="仿宋_GB2312"/>
        </w:rPr>
        <w:t>3.8</w:t>
      </w:r>
      <w:r>
        <w:rPr>
          <w:rFonts w:eastAsia="仿宋_GB2312"/>
        </w:rPr>
        <w:t>亿元，加上上解支出</w:t>
      </w:r>
      <w:r>
        <w:rPr>
          <w:rFonts w:eastAsia="仿宋_GB2312"/>
        </w:rPr>
        <w:t>2</w:t>
      </w:r>
      <w:r>
        <w:rPr>
          <w:rFonts w:eastAsia="仿宋_GB2312"/>
        </w:rPr>
        <w:t>亿元、债券还本支出</w:t>
      </w:r>
      <w:r>
        <w:rPr>
          <w:rFonts w:eastAsia="仿宋_GB2312"/>
        </w:rPr>
        <w:t>2.3</w:t>
      </w:r>
      <w:r>
        <w:rPr>
          <w:rFonts w:eastAsia="仿宋_GB2312"/>
        </w:rPr>
        <w:t>亿元、结转下年支出</w:t>
      </w:r>
      <w:r>
        <w:rPr>
          <w:rFonts w:eastAsia="仿宋_GB2312" w:hint="eastAsia"/>
        </w:rPr>
        <w:t>等</w:t>
      </w:r>
      <w:r>
        <w:rPr>
          <w:rFonts w:eastAsia="仿宋_GB2312"/>
        </w:rPr>
        <w:t>0.6</w:t>
      </w:r>
      <w:r>
        <w:rPr>
          <w:rFonts w:eastAsia="仿宋_GB2312"/>
        </w:rPr>
        <w:t>亿元后，支出总计为</w:t>
      </w:r>
      <w:r>
        <w:rPr>
          <w:rFonts w:eastAsia="仿宋_GB2312"/>
        </w:rPr>
        <w:t>8.7</w:t>
      </w:r>
      <w:r>
        <w:rPr>
          <w:rFonts w:eastAsia="仿宋_GB2312"/>
        </w:rPr>
        <w:t>亿元。</w:t>
      </w:r>
    </w:p>
    <w:p w:rsidR="00C70324" w:rsidRP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</w:t>
      </w:r>
      <w:r w:rsidR="00641C9C">
        <w:rPr>
          <w:rFonts w:eastAsia="仿宋_GB2312"/>
          <w:color w:val="000000"/>
        </w:rPr>
        <w:t>0</w:t>
      </w:r>
      <w:bookmarkStart w:id="0" w:name="_GoBack"/>
      <w:bookmarkEnd w:id="0"/>
      <w:r w:rsidR="0003501D">
        <w:rPr>
          <w:rFonts w:eastAsia="仿宋_GB2312"/>
          <w:color w:val="000000"/>
        </w:rPr>
        <w:t>年收支相抵，实现收支平衡。</w:t>
      </w:r>
    </w:p>
    <w:sectPr w:rsidR="00C70324" w:rsidRPr="003A0114" w:rsidSect="00C7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1D" w:rsidRDefault="0003501D" w:rsidP="003A0114">
      <w:r>
        <w:separator/>
      </w:r>
    </w:p>
  </w:endnote>
  <w:endnote w:type="continuationSeparator" w:id="0">
    <w:p w:rsidR="0003501D" w:rsidRDefault="0003501D" w:rsidP="003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1D" w:rsidRDefault="0003501D" w:rsidP="003A0114">
      <w:r>
        <w:separator/>
      </w:r>
    </w:p>
  </w:footnote>
  <w:footnote w:type="continuationSeparator" w:id="0">
    <w:p w:rsidR="0003501D" w:rsidRDefault="0003501D" w:rsidP="003A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03501D"/>
    <w:rsid w:val="0011478E"/>
    <w:rsid w:val="001452F2"/>
    <w:rsid w:val="001B305F"/>
    <w:rsid w:val="003A0114"/>
    <w:rsid w:val="006006FF"/>
    <w:rsid w:val="00641C9C"/>
    <w:rsid w:val="006F2C42"/>
    <w:rsid w:val="007667F9"/>
    <w:rsid w:val="00776CA5"/>
    <w:rsid w:val="00A95DF7"/>
    <w:rsid w:val="00C70324"/>
    <w:rsid w:val="1FA9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AEBD53-EE6B-463B-BC5B-5E050D7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0324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rsid w:val="00C7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C70324"/>
    <w:rPr>
      <w:sz w:val="18"/>
      <w:szCs w:val="18"/>
    </w:rPr>
  </w:style>
  <w:style w:type="paragraph" w:customStyle="1" w:styleId="Char1">
    <w:name w:val="Char1"/>
    <w:basedOn w:val="a"/>
    <w:rsid w:val="00C70324"/>
  </w:style>
  <w:style w:type="character" w:customStyle="1" w:styleId="Char">
    <w:name w:val="批注框文本 Char"/>
    <w:basedOn w:val="a1"/>
    <w:link w:val="a4"/>
    <w:uiPriority w:val="99"/>
    <w:semiHidden/>
    <w:rsid w:val="00C703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A01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2019-08-12T06:05:00Z</dcterms:created>
  <dcterms:modified xsi:type="dcterms:W3CDTF">2023-03-21T01:17:00Z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